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8C5" w:rsidRDefault="00FA68C5" w:rsidP="00FA68C5">
      <w:pPr>
        <w:pStyle w:val="4"/>
        <w:rPr>
          <w:lang w:val="ru-RU"/>
        </w:rPr>
      </w:pPr>
      <w:r>
        <w:rPr>
          <w:lang w:val="ru-RU"/>
        </w:rPr>
        <w:t>Лекция 11.</w:t>
      </w:r>
    </w:p>
    <w:p w:rsidR="00252522" w:rsidRDefault="00252522" w:rsidP="00252522">
      <w:r>
        <w:t>Квантовые приборы оптического диапазона. Общие вопросы, классификация. Методы накачки. Оптические открытые резонаторы.</w:t>
      </w:r>
    </w:p>
    <w:p w:rsidR="005C6DE2" w:rsidRDefault="005C6DE2" w:rsidP="00252522"/>
    <w:p w:rsidR="00252522" w:rsidRDefault="005C6DE2" w:rsidP="00252522">
      <w:r w:rsidRPr="005C6DE2">
        <w:rPr>
          <w:b/>
        </w:rPr>
        <w:t>Классификация</w:t>
      </w:r>
      <w:r>
        <w:rPr>
          <w:b/>
        </w:rPr>
        <w:t>.</w:t>
      </w:r>
    </w:p>
    <w:p w:rsidR="005C6DE2" w:rsidRDefault="00627E72" w:rsidP="00252522">
      <w:r>
        <w:t>1. По виду рабочего тела. Газовые (атомарные, ионные, молекулярные), жидкостные, твердотельные.</w:t>
      </w:r>
    </w:p>
    <w:p w:rsidR="00627E72" w:rsidRDefault="00627E72" w:rsidP="00252522">
      <w:r>
        <w:t>2. По методам накачки. Электроразрядные, газодинамические, химические, энергетическая накачка, сортировка.</w:t>
      </w:r>
    </w:p>
    <w:p w:rsidR="00627E72" w:rsidRDefault="00627E72" w:rsidP="00252522">
      <w:r>
        <w:t>3. Частотный диапазон.</w:t>
      </w:r>
    </w:p>
    <w:p w:rsidR="00627E72" w:rsidRDefault="00627E72" w:rsidP="00252522">
      <w:r>
        <w:t xml:space="preserve">4. </w:t>
      </w:r>
    </w:p>
    <w:p w:rsidR="00F52DFB" w:rsidRDefault="00627E72" w:rsidP="00F52DFB">
      <w:r>
        <w:rPr>
          <w:b/>
        </w:rPr>
        <w:t>Напоминание общих положений.</w:t>
      </w:r>
      <w:r>
        <w:t xml:space="preserve"> Необходимость инверсии. Вынужденные переходы. Усиление. </w:t>
      </w:r>
    </w:p>
    <w:p w:rsidR="00FF5EC6" w:rsidRDefault="00FF5EC6" w:rsidP="00F52DFB"/>
    <w:p w:rsidR="00BB290C" w:rsidRDefault="00F52DFB" w:rsidP="00FF5EC6">
      <w:r w:rsidRPr="000F2006">
        <w:rPr>
          <w:i/>
        </w:rPr>
        <w:t>Активное вещество</w:t>
      </w:r>
      <w:r>
        <w:t xml:space="preserve">. </w:t>
      </w:r>
      <w:r w:rsidR="00FF5EC6">
        <w:t xml:space="preserve">Наиболее простая – это </w:t>
      </w:r>
      <w:r w:rsidR="005C6DE2">
        <w:t>идеальная двухуровневая</w:t>
      </w:r>
      <w:r>
        <w:t xml:space="preserve"> квантовая система, которая с достаточной степенью приближения реализуется в полупроводниковых лазерах. </w:t>
      </w:r>
      <w:r w:rsidR="00FF5EC6">
        <w:t xml:space="preserve">С помощью оптической накачки создать инверсную населенность в двухуровневой системе нельзя. Это легко видеть из следующего. В состоянии термодинамического равновесия распределение частиц по энергетическим уровням определяется законом Больцмана.  </w:t>
      </w:r>
      <w:r w:rsidR="00FF5EC6">
        <w:rPr>
          <w:i/>
          <w:iCs/>
          <w:sz w:val="28"/>
          <w:lang w:val="en-US"/>
        </w:rPr>
        <w:t>N</w:t>
      </w:r>
      <w:r w:rsidR="00FF5EC6">
        <w:rPr>
          <w:i/>
          <w:iCs/>
          <w:sz w:val="28"/>
          <w:vertAlign w:val="subscript"/>
        </w:rPr>
        <w:t>2</w:t>
      </w:r>
      <w:r w:rsidR="00FF5EC6">
        <w:rPr>
          <w:i/>
          <w:iCs/>
          <w:sz w:val="28"/>
        </w:rPr>
        <w:t>&lt;</w:t>
      </w:r>
      <w:r w:rsidR="00FF5EC6">
        <w:rPr>
          <w:i/>
          <w:iCs/>
          <w:sz w:val="28"/>
          <w:lang w:val="en-US"/>
        </w:rPr>
        <w:t>N</w:t>
      </w:r>
      <w:r w:rsidR="00FF5EC6">
        <w:rPr>
          <w:i/>
          <w:iCs/>
          <w:sz w:val="28"/>
          <w:vertAlign w:val="subscript"/>
        </w:rPr>
        <w:t>1</w:t>
      </w:r>
      <w:r w:rsidR="00FF5EC6">
        <w:t>,</w:t>
      </w:r>
      <w:r w:rsidR="00FF5EC6">
        <w:rPr>
          <w:i/>
          <w:iCs/>
          <w:sz w:val="28"/>
        </w:rPr>
        <w:t xml:space="preserve"> </w:t>
      </w:r>
      <w:r w:rsidR="00FF5EC6">
        <w:t>если</w:t>
      </w:r>
      <w:r w:rsidR="00FF5EC6">
        <w:rPr>
          <w:i/>
          <w:iCs/>
          <w:sz w:val="28"/>
        </w:rPr>
        <w:t xml:space="preserve">  </w:t>
      </w:r>
      <w:r w:rsidR="00FF5EC6">
        <w:rPr>
          <w:i/>
          <w:iCs/>
          <w:sz w:val="28"/>
          <w:lang w:val="en-US"/>
        </w:rPr>
        <w:t>E</w:t>
      </w:r>
      <w:r w:rsidR="00FF5EC6">
        <w:rPr>
          <w:i/>
          <w:iCs/>
          <w:sz w:val="28"/>
          <w:vertAlign w:val="subscript"/>
        </w:rPr>
        <w:t>2</w:t>
      </w:r>
      <w:r w:rsidR="00FF5EC6">
        <w:rPr>
          <w:i/>
          <w:iCs/>
          <w:sz w:val="28"/>
        </w:rPr>
        <w:t>&gt;</w:t>
      </w:r>
      <w:r w:rsidR="00FF5EC6">
        <w:rPr>
          <w:i/>
          <w:iCs/>
          <w:sz w:val="28"/>
          <w:lang w:val="en-US"/>
        </w:rPr>
        <w:t>E</w:t>
      </w:r>
      <w:r w:rsidR="00FF5EC6">
        <w:rPr>
          <w:i/>
          <w:iCs/>
          <w:sz w:val="28"/>
          <w:vertAlign w:val="subscript"/>
        </w:rPr>
        <w:t>1</w:t>
      </w:r>
      <w:r w:rsidR="00FF5EC6">
        <w:t>. Предположим, система облучается электромагнитным излучением частотой соответствующей переходу. Под действием этого излучения происходят вынужденные переходы с уровня 1 на уровень 2 и обратно. Вероятность переходов соответственно (</w:t>
      </w:r>
      <w:r w:rsidR="00BB290C">
        <w:t>1</w:t>
      </w:r>
      <w:r w:rsidR="00FF5EC6">
        <w:t>) и (</w:t>
      </w:r>
      <w:r w:rsidR="00BB290C">
        <w:t>2</w:t>
      </w:r>
      <w:r w:rsidR="00FF5EC6">
        <w:t xml:space="preserve">). </w:t>
      </w:r>
    </w:p>
    <w:p w:rsidR="00BB290C" w:rsidRDefault="00BB290C" w:rsidP="00BB290C">
      <w:r>
        <w:rPr>
          <w:position w:val="-34"/>
        </w:rPr>
        <w:object w:dxaOrig="52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39.75pt" o:ole="">
            <v:imagedata r:id="rId6" o:title=""/>
          </v:shape>
          <o:OLEObject Type="Embed" ProgID="Equation.3" ShapeID="_x0000_i1025" DrawAspect="Content" ObjectID="_1322247491" r:id="rId7"/>
        </w:object>
      </w:r>
      <w:r>
        <w:t xml:space="preserve">                                        (1)</w:t>
      </w:r>
    </w:p>
    <w:p w:rsidR="00BB290C" w:rsidRDefault="00BB290C" w:rsidP="00BB290C">
      <w:r>
        <w:rPr>
          <w:position w:val="-34"/>
        </w:rPr>
        <w:object w:dxaOrig="5240" w:dyaOrig="800">
          <v:shape id="_x0000_i1026" type="#_x0000_t75" style="width:261.75pt;height:39.75pt" o:ole="">
            <v:imagedata r:id="rId8" o:title=""/>
          </v:shape>
          <o:OLEObject Type="Embed" ProgID="Equation.3" ShapeID="_x0000_i1026" DrawAspect="Content" ObjectID="_1322247492" r:id="rId9"/>
        </w:object>
      </w:r>
      <w:r>
        <w:t xml:space="preserve">                                       (2) </w:t>
      </w:r>
    </w:p>
    <w:p w:rsidR="00FF5EC6" w:rsidRDefault="00FF5EC6" w:rsidP="00BB290C">
      <w:r>
        <w:t xml:space="preserve">Поскольку </w:t>
      </w:r>
      <w:r>
        <w:rPr>
          <w:i/>
          <w:iCs/>
          <w:sz w:val="28"/>
          <w:lang w:val="en-US"/>
        </w:rPr>
        <w:t>N</w:t>
      </w:r>
      <w:r>
        <w:rPr>
          <w:i/>
          <w:iCs/>
          <w:sz w:val="28"/>
          <w:vertAlign w:val="subscript"/>
        </w:rPr>
        <w:t>2</w:t>
      </w:r>
      <w:r>
        <w:rPr>
          <w:i/>
          <w:iCs/>
          <w:sz w:val="28"/>
        </w:rPr>
        <w:t>&lt;</w:t>
      </w:r>
      <w:r>
        <w:rPr>
          <w:i/>
          <w:iCs/>
          <w:sz w:val="28"/>
          <w:lang w:val="en-US"/>
        </w:rPr>
        <w:t>N</w:t>
      </w:r>
      <w:r>
        <w:rPr>
          <w:i/>
          <w:iCs/>
          <w:sz w:val="28"/>
          <w:vertAlign w:val="subscript"/>
        </w:rPr>
        <w:t>1</w:t>
      </w:r>
      <w:r>
        <w:t>, то в основном происходит поглощение излучения. По мере заселения уровня 2 частота переходов сравнивается. Система становится прозрачной для соответствующей частоты. Такое состояние называется насыщением перехода.</w:t>
      </w:r>
    </w:p>
    <w:p w:rsidR="002F15CC" w:rsidRDefault="00F52DFB" w:rsidP="00F52DFB">
      <w:r>
        <w:t xml:space="preserve">Большинство же активных веществ, используемых в приборах квантовой электроники, являются многоуровневыми системами. Однако иногда, невзирая на очень большое количество уровней, участвующих в процессе генерации лазерного излучения, большинство активных сред можно условно разделить на системы с 3-мя или 4-мя </w:t>
      </w:r>
      <w:r>
        <w:lastRenderedPageBreak/>
        <w:t>рабочими уровнями, т.е. в процессе создания инверсии населенностей реально участвует три или четыре совокупности уровней. Отдельные такие уровни могут обр</w:t>
      </w:r>
      <w:r w:rsidR="00FF5EC6">
        <w:t>азовывать энергетические полосы.</w:t>
      </w:r>
      <w:r>
        <w:t xml:space="preserve"> Таким образом, условно можно считать, что активная среда может быть или трех, или четырехуровневой. Сначала, рассмотрим условия получения инверсии населенности в трехуровневой квантовой системе (Рис. 2).</w:t>
      </w:r>
    </w:p>
    <w:p w:rsidR="005C6DE2" w:rsidRDefault="005C6DE2" w:rsidP="005C6DE2">
      <w:r>
        <w:t>Рассмотрим трехуровневую систему.</w:t>
      </w:r>
    </w:p>
    <w:p w:rsidR="005C6DE2" w:rsidRDefault="005C6DE2" w:rsidP="005C6DE2">
      <w:pPr>
        <w:jc w:val="center"/>
        <w:rPr>
          <w:i/>
          <w:iCs/>
          <w:sz w:val="28"/>
        </w:rPr>
      </w:pPr>
    </w:p>
    <w:p w:rsidR="005C6DE2" w:rsidRDefault="008C741C" w:rsidP="005C6DE2">
      <w:r>
        <w:object w:dxaOrig="5354" w:dyaOrig="4844">
          <v:shape id="_x0000_i1027" type="#_x0000_t75" style="width:267.75pt;height:242.25pt" o:ole="">
            <v:imagedata r:id="rId10" o:title=""/>
          </v:shape>
          <o:OLEObject Type="Embed" ProgID="Visio.Drawing.11" ShapeID="_x0000_i1027" DrawAspect="Content" ObjectID="_1322247493" r:id="rId11"/>
        </w:object>
      </w:r>
    </w:p>
    <w:p w:rsidR="005C6DE2" w:rsidRDefault="005C6DE2" w:rsidP="005C6DE2">
      <w:pPr>
        <w:jc w:val="center"/>
        <w:rPr>
          <w:sz w:val="22"/>
        </w:rPr>
      </w:pPr>
      <w:r>
        <w:rPr>
          <w:sz w:val="22"/>
        </w:rPr>
        <w:t>Рис.2.</w:t>
      </w:r>
    </w:p>
    <w:p w:rsidR="005C6DE2" w:rsidRDefault="005C6DE2" w:rsidP="005C6DE2">
      <w:pPr>
        <w:jc w:val="center"/>
        <w:rPr>
          <w:sz w:val="22"/>
        </w:rPr>
      </w:pPr>
    </w:p>
    <w:p w:rsidR="005C6DE2" w:rsidRDefault="00BB290C" w:rsidP="005C6DE2">
      <w:r w:rsidRPr="00BB290C">
        <w:rPr>
          <w:position w:val="-32"/>
        </w:rPr>
        <w:object w:dxaOrig="7760" w:dyaOrig="760">
          <v:shape id="_x0000_i1028" type="#_x0000_t75" style="width:387.75pt;height:38.25pt" o:ole="">
            <v:imagedata r:id="rId12" o:title=""/>
          </v:shape>
          <o:OLEObject Type="Embed" ProgID="Equation.3" ShapeID="_x0000_i1028" DrawAspect="Content" ObjectID="_1322247494" r:id="rId13"/>
        </w:object>
      </w:r>
      <w:r w:rsidR="008C741C">
        <w:t xml:space="preserve">  (3)</w:t>
      </w:r>
    </w:p>
    <w:p w:rsidR="005C6DE2" w:rsidRDefault="005C6DE2" w:rsidP="005C6DE2">
      <w:r>
        <w:rPr>
          <w:lang w:val="en-US"/>
        </w:rPr>
        <w:t>N</w:t>
      </w:r>
      <w:r>
        <w:rPr>
          <w:vertAlign w:val="subscript"/>
        </w:rPr>
        <w:t>2</w:t>
      </w:r>
      <w:r>
        <w:t xml:space="preserve"> – текущее значение концентрации атомов на уровне 2. Второй член в скобках – значение концентрации на уровне 2 в состоянии равновесия. </w:t>
      </w:r>
      <w:r w:rsidR="00BB290C">
        <w:rPr>
          <w:i/>
          <w:lang w:val="en-US"/>
        </w:rPr>
        <w:t>W</w:t>
      </w:r>
      <w:r>
        <w:rPr>
          <w:vertAlign w:val="subscript"/>
        </w:rPr>
        <w:t>13</w:t>
      </w:r>
      <w:r>
        <w:t xml:space="preserve"> – вероятность перехода под действием накачки.</w:t>
      </w:r>
    </w:p>
    <w:p w:rsidR="005C6DE2" w:rsidRDefault="005C6DE2" w:rsidP="005C6DE2">
      <w:r>
        <w:rPr>
          <w:position w:val="-50"/>
        </w:rPr>
        <w:object w:dxaOrig="6200" w:dyaOrig="1120">
          <v:shape id="_x0000_i1029" type="#_x0000_t75" style="width:309.75pt;height:56.25pt" o:ole="">
            <v:imagedata r:id="rId14" o:title=""/>
          </v:shape>
          <o:OLEObject Type="Embed" ProgID="Equation.3" ShapeID="_x0000_i1029" DrawAspect="Content" ObjectID="_1322247495" r:id="rId15"/>
        </w:object>
      </w:r>
      <w:r w:rsidR="008C741C">
        <w:t xml:space="preserve">  (4)</w:t>
      </w:r>
    </w:p>
    <w:p w:rsidR="005C6DE2" w:rsidRDefault="005C6DE2" w:rsidP="005C6DE2">
      <w:r>
        <w:t>Решение упрощается в стационарном случае, когда</w:t>
      </w:r>
    </w:p>
    <w:p w:rsidR="005C6DE2" w:rsidRDefault="005C6DE2" w:rsidP="005C6DE2">
      <w:r>
        <w:rPr>
          <w:position w:val="-12"/>
        </w:rPr>
        <w:object w:dxaOrig="1800" w:dyaOrig="380">
          <v:shape id="_x0000_i1030" type="#_x0000_t75" style="width:90pt;height:18.75pt" o:ole="">
            <v:imagedata r:id="rId16" o:title=""/>
          </v:shape>
          <o:OLEObject Type="Embed" ProgID="Equation.3" ShapeID="_x0000_i1030" DrawAspect="Content" ObjectID="_1322247496" r:id="rId17"/>
        </w:object>
      </w:r>
      <w:r w:rsidR="008C741C">
        <w:t xml:space="preserve">      (5)</w:t>
      </w:r>
    </w:p>
    <w:p w:rsidR="005C6DE2" w:rsidRDefault="005C6DE2" w:rsidP="005C6DE2">
      <w:r>
        <w:t xml:space="preserve">Как было показано выше, максимальная инверсия уровней 1 и 3  достигается при </w:t>
      </w:r>
      <w:r>
        <w:rPr>
          <w:lang w:val="en-US"/>
        </w:rPr>
        <w:t>N</w:t>
      </w:r>
      <w:r>
        <w:rPr>
          <w:vertAlign w:val="subscript"/>
        </w:rPr>
        <w:t>1</w:t>
      </w:r>
      <w:r>
        <w:t>=</w:t>
      </w:r>
      <w:r>
        <w:rPr>
          <w:lang w:val="en-US"/>
        </w:rPr>
        <w:t>N</w:t>
      </w:r>
      <w:r>
        <w:rPr>
          <w:vertAlign w:val="subscript"/>
        </w:rPr>
        <w:t>3</w:t>
      </w:r>
      <w:r>
        <w:t xml:space="preserve"> и больше быть не может.</w:t>
      </w:r>
    </w:p>
    <w:p w:rsidR="008C741C" w:rsidRDefault="005C6DE2" w:rsidP="005C6DE2">
      <w:r>
        <w:rPr>
          <w:position w:val="-62"/>
        </w:rPr>
        <w:object w:dxaOrig="2780" w:dyaOrig="1380">
          <v:shape id="_x0000_i1031" type="#_x0000_t75" style="width:138.75pt;height:69pt" o:ole="">
            <v:imagedata r:id="rId18" o:title=""/>
          </v:shape>
          <o:OLEObject Type="Embed" ProgID="Equation.3" ShapeID="_x0000_i1031" DrawAspect="Content" ObjectID="_1322247497" r:id="rId19"/>
        </w:object>
      </w:r>
      <w:r>
        <w:t xml:space="preserve">     </w:t>
      </w:r>
      <w:r w:rsidR="008C741C">
        <w:t>(6)</w:t>
      </w:r>
    </w:p>
    <w:p w:rsidR="005C6DE2" w:rsidRDefault="005C6DE2" w:rsidP="005C6DE2">
      <w:r>
        <w:t>Это должно быть больше 1. При кТ&gt;&gt;</w:t>
      </w:r>
      <w:r>
        <w:rPr>
          <w:lang w:val="en-US"/>
        </w:rPr>
        <w:t>h</w:t>
      </w:r>
      <w:r>
        <w:rPr>
          <w:rFonts w:ascii="Symbol" w:hAnsi="Symbol"/>
          <w:lang w:val="en-US"/>
        </w:rPr>
        <w:t></w:t>
      </w:r>
      <w:r>
        <w:t xml:space="preserve"> (СВЧ)</w:t>
      </w:r>
      <w:r w:rsidR="00BD62F4">
        <w:t>, разложив экспоненты в ряд,</w:t>
      </w:r>
      <w:r>
        <w:t xml:space="preserve"> получим условие</w:t>
      </w:r>
    </w:p>
    <w:p w:rsidR="005C6DE2" w:rsidRDefault="005C6DE2" w:rsidP="005C6DE2">
      <w:r>
        <w:rPr>
          <w:position w:val="-34"/>
        </w:rPr>
        <w:object w:dxaOrig="1260" w:dyaOrig="780">
          <v:shape id="_x0000_i1032" type="#_x0000_t75" style="width:63pt;height:39pt" o:ole="">
            <v:imagedata r:id="rId20" o:title=""/>
          </v:shape>
          <o:OLEObject Type="Embed" ProgID="Equation.3" ShapeID="_x0000_i1032" DrawAspect="Content" ObjectID="_1322247498" r:id="rId21"/>
        </w:object>
      </w:r>
      <w:r w:rsidR="008C741C">
        <w:t xml:space="preserve">   (7)</w:t>
      </w:r>
    </w:p>
    <w:p w:rsidR="005C6DE2" w:rsidRDefault="005C6DE2" w:rsidP="005C6DE2">
      <w:r>
        <w:t>В оптическом диапазоне это не приемлемо, т.к. для насыщения перехода 1-3 требуется очень большая энергия. Применяют трехуровневую схему с метастабильным уровнем. (Пример – рубин)</w:t>
      </w:r>
    </w:p>
    <w:p w:rsidR="00C92EE7" w:rsidRDefault="00C92EE7" w:rsidP="005C6DE2"/>
    <w:p w:rsidR="005C6DE2" w:rsidRDefault="005C6DE2" w:rsidP="005C6DE2">
      <w:r>
        <w:object w:dxaOrig="4720" w:dyaOrig="5434">
          <v:shape id="_x0000_i1033" type="#_x0000_t75" style="width:236.25pt;height:271.5pt" o:ole="">
            <v:imagedata r:id="rId22" o:title=""/>
          </v:shape>
          <o:OLEObject Type="Embed" ProgID="Visio.Drawing.6" ShapeID="_x0000_i1033" DrawAspect="Content" ObjectID="_1322247499" r:id="rId23"/>
        </w:object>
      </w:r>
    </w:p>
    <w:p w:rsidR="005C6DE2" w:rsidRDefault="005C6DE2" w:rsidP="005C6DE2">
      <w:pPr>
        <w:jc w:val="center"/>
        <w:rPr>
          <w:sz w:val="22"/>
        </w:rPr>
      </w:pPr>
      <w:r>
        <w:rPr>
          <w:sz w:val="22"/>
        </w:rPr>
        <w:t>Рис.3.</w:t>
      </w:r>
    </w:p>
    <w:p w:rsidR="005C6DE2" w:rsidRDefault="005C6DE2" w:rsidP="005C6DE2">
      <w:r>
        <w:t>Экспоненты практически равны 0. Система имеет вид:</w:t>
      </w:r>
    </w:p>
    <w:p w:rsidR="005C6DE2" w:rsidRDefault="00667E74" w:rsidP="005C6DE2">
      <w:r w:rsidRPr="00667E74">
        <w:rPr>
          <w:position w:val="-66"/>
        </w:rPr>
        <w:object w:dxaOrig="3200" w:dyaOrig="1760">
          <v:shape id="_x0000_i1034" type="#_x0000_t75" style="width:159.75pt;height:87.75pt" o:ole="">
            <v:imagedata r:id="rId24" o:title=""/>
          </v:shape>
          <o:OLEObject Type="Embed" ProgID="Equation.3" ShapeID="_x0000_i1034" DrawAspect="Content" ObjectID="_1322247500" r:id="rId25"/>
        </w:object>
      </w:r>
      <w:r w:rsidR="008C741C">
        <w:t xml:space="preserve">      (8)</w:t>
      </w:r>
    </w:p>
    <w:p w:rsidR="005C6DE2" w:rsidRDefault="005C6DE2" w:rsidP="005C6DE2">
      <w:r>
        <w:t>Для стационарного режима и при условиях:</w:t>
      </w:r>
    </w:p>
    <w:p w:rsidR="005C6DE2" w:rsidRDefault="005C6DE2" w:rsidP="005C6DE2">
      <w:r>
        <w:rPr>
          <w:position w:val="-12"/>
        </w:rPr>
        <w:object w:dxaOrig="5800" w:dyaOrig="380">
          <v:shape id="_x0000_i1035" type="#_x0000_t75" style="width:290.25pt;height:18.75pt" o:ole="">
            <v:imagedata r:id="rId26" o:title=""/>
          </v:shape>
          <o:OLEObject Type="Embed" ProgID="Equation.3" ShapeID="_x0000_i1035" DrawAspect="Content" ObjectID="_1322247501" r:id="rId27"/>
        </w:object>
      </w:r>
      <w:r w:rsidR="008C741C">
        <w:t xml:space="preserve">     (9)</w:t>
      </w:r>
    </w:p>
    <w:p w:rsidR="005C6DE2" w:rsidRDefault="005C6DE2" w:rsidP="005C6DE2">
      <w:r>
        <w:t>Минимальная мощность накачки</w:t>
      </w:r>
    </w:p>
    <w:p w:rsidR="005C6DE2" w:rsidRDefault="00C92EE7" w:rsidP="005C6DE2">
      <w:r w:rsidRPr="00C92EE7">
        <w:rPr>
          <w:position w:val="-30"/>
        </w:rPr>
        <w:object w:dxaOrig="3519" w:dyaOrig="700">
          <v:shape id="_x0000_i1036" type="#_x0000_t75" style="width:176.25pt;height:35.25pt" o:ole="">
            <v:imagedata r:id="rId28" o:title=""/>
          </v:shape>
          <o:OLEObject Type="Embed" ProgID="Equation.3" ShapeID="_x0000_i1036" DrawAspect="Content" ObjectID="_1322247502" r:id="rId29"/>
        </w:object>
      </w:r>
      <w:r w:rsidR="008C741C">
        <w:t xml:space="preserve">     (10)</w:t>
      </w:r>
    </w:p>
    <w:p w:rsidR="00BD62F4" w:rsidRDefault="00BD62F4" w:rsidP="005C6DE2"/>
    <w:p w:rsidR="00BD62F4" w:rsidRDefault="00BD62F4" w:rsidP="005C6DE2">
      <w:r>
        <w:t>Четырехуровневая схема</w:t>
      </w:r>
    </w:p>
    <w:p w:rsidR="005C6DE2" w:rsidRDefault="005C6DE2" w:rsidP="005C6DE2">
      <w:r>
        <w:object w:dxaOrig="4720" w:dyaOrig="5434">
          <v:shape id="_x0000_i1037" type="#_x0000_t75" style="width:236.25pt;height:271.5pt" o:ole="">
            <v:imagedata r:id="rId30" o:title=""/>
          </v:shape>
          <o:OLEObject Type="Embed" ProgID="Visio.Drawing.6" ShapeID="_x0000_i1037" DrawAspect="Content" ObjectID="_1322247503" r:id="rId31"/>
        </w:object>
      </w:r>
    </w:p>
    <w:p w:rsidR="005C6DE2" w:rsidRDefault="005C6DE2" w:rsidP="005C6DE2">
      <w:pPr>
        <w:jc w:val="center"/>
        <w:rPr>
          <w:sz w:val="22"/>
        </w:rPr>
      </w:pPr>
      <w:r>
        <w:rPr>
          <w:sz w:val="22"/>
        </w:rPr>
        <w:t>Рис.4. (Неодим)</w:t>
      </w:r>
    </w:p>
    <w:p w:rsidR="005C6DE2" w:rsidRDefault="005C6DE2" w:rsidP="005C6DE2">
      <w:r>
        <w:t xml:space="preserve">Ясно, что выгодно </w:t>
      </w:r>
      <w:r>
        <w:rPr>
          <w:rFonts w:ascii="Symbol" w:hAnsi="Symbol"/>
          <w:lang w:val="en-US"/>
        </w:rPr>
        <w:t></w:t>
      </w:r>
      <w:r>
        <w:rPr>
          <w:rFonts w:ascii="Symbol" w:hAnsi="Symbol"/>
          <w:vertAlign w:val="subscript"/>
          <w:lang w:val="en-US"/>
        </w:rPr>
        <w:t></w:t>
      </w:r>
      <w:r>
        <w:rPr>
          <w:rFonts w:ascii="Symbol" w:hAnsi="Symbol"/>
          <w:vertAlign w:val="subscript"/>
          <w:lang w:val="en-US"/>
        </w:rPr>
        <w:t></w:t>
      </w:r>
      <w:r>
        <w:rPr>
          <w:rFonts w:ascii="Symbol" w:hAnsi="Symbol"/>
          <w:vertAlign w:val="subscript"/>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vertAlign w:val="subscript"/>
          <w:lang w:val="en-US"/>
        </w:rPr>
        <w:t></w:t>
      </w:r>
      <w:r>
        <w:rPr>
          <w:rFonts w:ascii="Symbol" w:hAnsi="Symbol"/>
          <w:vertAlign w:val="subscript"/>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vertAlign w:val="subscript"/>
          <w:lang w:val="en-US"/>
        </w:rPr>
        <w:t></w:t>
      </w:r>
      <w:r>
        <w:rPr>
          <w:rFonts w:ascii="Symbol" w:hAnsi="Symbol"/>
          <w:vertAlign w:val="subscript"/>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vertAlign w:val="subscript"/>
          <w:lang w:val="en-US"/>
        </w:rPr>
        <w:t></w:t>
      </w:r>
      <w:r>
        <w:rPr>
          <w:rFonts w:ascii="Symbol" w:hAnsi="Symbol"/>
          <w:vertAlign w:val="subscript"/>
          <w:lang w:val="en-US"/>
        </w:rPr>
        <w:t></w:t>
      </w:r>
      <w:r>
        <w:rPr>
          <w:rFonts w:ascii="Symbol" w:hAnsi="Symbol"/>
          <w:vertAlign w:val="subscript"/>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vertAlign w:val="subscript"/>
          <w:lang w:val="en-US"/>
        </w:rPr>
        <w:t></w:t>
      </w:r>
      <w:r>
        <w:rPr>
          <w:rFonts w:ascii="Symbol" w:hAnsi="Symbol"/>
          <w:vertAlign w:val="subscript"/>
          <w:lang w:val="en-US"/>
        </w:rPr>
        <w:t></w:t>
      </w:r>
      <w:r>
        <w:rPr>
          <w:rFonts w:ascii="Symbol" w:hAnsi="Symbol"/>
          <w:vertAlign w:val="subscript"/>
          <w:lang w:val="en-US"/>
        </w:rPr>
        <w:t></w:t>
      </w:r>
      <w:r>
        <w:rPr>
          <w:rFonts w:ascii="Symbol" w:hAnsi="Symbol"/>
          <w:vertAlign w:val="subscript"/>
          <w:lang w:val="en-US"/>
        </w:rPr>
        <w:t></w:t>
      </w:r>
      <w:r>
        <w:t xml:space="preserve">  С учетом этого</w:t>
      </w:r>
    </w:p>
    <w:p w:rsidR="005C6DE2" w:rsidRDefault="005C6DE2" w:rsidP="005C6DE2">
      <w:r>
        <w:rPr>
          <w:position w:val="-120"/>
        </w:rPr>
        <w:object w:dxaOrig="3860" w:dyaOrig="2520">
          <v:shape id="_x0000_i1038" type="#_x0000_t75" style="width:192.75pt;height:126pt" o:ole="">
            <v:imagedata r:id="rId32" o:title=""/>
          </v:shape>
          <o:OLEObject Type="Embed" ProgID="Equation.3" ShapeID="_x0000_i1038" DrawAspect="Content" ObjectID="_1322247504" r:id="rId33"/>
        </w:object>
      </w:r>
      <w:r w:rsidR="008C741C">
        <w:t xml:space="preserve">       (11)</w:t>
      </w:r>
    </w:p>
    <w:p w:rsidR="005C6DE2" w:rsidRDefault="005C6DE2" w:rsidP="005C6DE2">
      <w:r>
        <w:t>При стационарном режиме мощность накачки:</w:t>
      </w:r>
    </w:p>
    <w:p w:rsidR="005C6DE2" w:rsidRDefault="005C6DE2" w:rsidP="005C6DE2">
      <w:r>
        <w:rPr>
          <w:position w:val="-30"/>
        </w:rPr>
        <w:object w:dxaOrig="4760" w:dyaOrig="720">
          <v:shape id="_x0000_i1039" type="#_x0000_t75" style="width:237.75pt;height:36pt" o:ole="">
            <v:imagedata r:id="rId34" o:title=""/>
          </v:shape>
          <o:OLEObject Type="Embed" ProgID="Equation.3" ShapeID="_x0000_i1039" DrawAspect="Content" ObjectID="_1322247505" r:id="rId35"/>
        </w:object>
      </w:r>
      <w:r w:rsidR="008C741C">
        <w:t xml:space="preserve">    (12)</w:t>
      </w:r>
    </w:p>
    <w:p w:rsidR="005C6DE2" w:rsidRDefault="005C6DE2" w:rsidP="005C6DE2">
      <w:r>
        <w:t>Особенно часто четырех уровневые схемы применяются в СВЧ диапазоне.</w:t>
      </w:r>
    </w:p>
    <w:p w:rsidR="00F52DFB" w:rsidRDefault="00F52DFB" w:rsidP="00F52DFB"/>
    <w:p w:rsidR="003C5014" w:rsidRDefault="003C5014" w:rsidP="003C5014">
      <w:r w:rsidRPr="00B21E9C">
        <w:rPr>
          <w:i/>
        </w:rPr>
        <w:t>Оптические резонаторы</w:t>
      </w:r>
      <w:r>
        <w:t xml:space="preserve">. Любой лазер представляет собой генератор электромагнитных колебаний. Колебания в любом генераторе поддерживаются за счет наличия положительной обратной связи. Отличительной особенностью квантовых генераторов является отсутствие явно выраженной обратной связи, поскольку </w:t>
      </w:r>
      <w:r>
        <w:lastRenderedPageBreak/>
        <w:t>положительная обратная связь содержится в самом явлении индуцированного излучения. Поле, воздействующее на активную среду, вызывает индуцированное излучение частиц. Возрастание поля ведет к соответствующему увеличению индуцированного излучения, дальнейшему возрастанию поля и т.д. Колебания в активной среде будут нарастать до предельной интенсивности, определяем</w:t>
      </w:r>
      <w:r w:rsidR="008C741C">
        <w:t>о</w:t>
      </w:r>
      <w:r>
        <w:t>й процессом насыщения.</w:t>
      </w:r>
    </w:p>
    <w:p w:rsidR="003C5014" w:rsidRDefault="003C5014" w:rsidP="003C5014">
      <w:r>
        <w:t>Практически во всех квантовых приборах генерирование колебаний происходит в резонансной системе, где размещается активная среда. В этом случае необходимая для генерирования колебаний положительная обратная связь обеспечивается за счет взаимодействия поля резонатора и активной ср</w:t>
      </w:r>
      <w:r>
        <w:t>е</w:t>
      </w:r>
      <w:r>
        <w:t>ды.</w:t>
      </w:r>
    </w:p>
    <w:p w:rsidR="003C5014" w:rsidRDefault="003C5014" w:rsidP="003C5014">
      <w:r>
        <w:t>В оптическом диапазоне в качестве резонаторов используются отражатели (зеркала), между которыми располагается активный образец. Основная особенность оптических резонаторов заключается в том, что размеры их значительно больше длины волны, в результате чего оказывается возможным одновременное возбуждение большого числа собствен</w:t>
      </w:r>
      <w:r>
        <w:softHyphen/>
        <w:t>ных колебаний, что существенно ухудшает выходные параметры оптичес</w:t>
      </w:r>
      <w:r>
        <w:softHyphen/>
        <w:t>ких генераторов.</w:t>
      </w:r>
    </w:p>
    <w:p w:rsidR="003C5014" w:rsidRDefault="003C5014" w:rsidP="003C5014">
      <w:r>
        <w:rPr>
          <w:noProof/>
        </w:rPr>
        <w:pict>
          <v:shapetype id="_x0000_t202" coordsize="21600,21600" o:spt="202" path="m,l,21600r21600,l21600,xe">
            <v:stroke joinstyle="miter"/>
            <v:path gradientshapeok="t" o:connecttype="rect"/>
          </v:shapetype>
          <v:shape id="_x0000_s1026" type="#_x0000_t202" style="position:absolute;left:0;text-align:left;margin-left:-170.1pt;margin-top:12.3pt;width:36pt;height:17.55pt;z-index:251657216" o:allowincell="f" stroked="f">
            <v:textbox>
              <w:txbxContent>
                <w:p w:rsidR="003C5014" w:rsidRDefault="003C5014" w:rsidP="003C5014"/>
              </w:txbxContent>
            </v:textbox>
          </v:shape>
        </w:pict>
      </w:r>
      <w:r>
        <w:t xml:space="preserve">Общие свойства оптических резонаторов наиболее наглядно можно оценить на примере простейшего резонатора-интерферометра Фабри-Перо, представляющего собой два плоских зеркала, расположенных на расстоянии </w:t>
      </w:r>
      <w:r>
        <w:rPr>
          <w:lang w:val="en-US"/>
        </w:rPr>
        <w:t>L</w:t>
      </w:r>
      <w:r>
        <w:t xml:space="preserve"> друг от друга .</w:t>
      </w:r>
    </w:p>
    <w:p w:rsidR="003C5014" w:rsidRDefault="003C5014" w:rsidP="003C5014">
      <w:r>
        <w:t>При бесконечно протяженных зеркалах каждое собственное колебание резонатора будет образовываться в результате сложения плоских волн, движущихся в противоположных направлениях между зеркалами. В результате формируются</w:t>
      </w:r>
      <w:r w:rsidR="008C741C">
        <w:t xml:space="preserve"> стоячие</w:t>
      </w:r>
      <w:r>
        <w:t xml:space="preserve"> волны вдоль оси резонатора, которые называются продольными (аксиальными) модами колебаний, резонансные частоты которых определяются формулой:</w:t>
      </w:r>
    </w:p>
    <w:p w:rsidR="003C5014" w:rsidRDefault="003C5014" w:rsidP="003C5014">
      <w:r>
        <w:t xml:space="preserve"> </w:t>
      </w:r>
    </w:p>
    <w:p w:rsidR="003C5014" w:rsidRDefault="00C8707C" w:rsidP="003C5014">
      <w:r w:rsidRPr="00FF6ECC">
        <w:rPr>
          <w:position w:val="-46"/>
        </w:rPr>
        <w:object w:dxaOrig="3379" w:dyaOrig="1040">
          <v:shape id="_x0000_i1040" type="#_x0000_t75" style="width:168.75pt;height:51.75pt" o:ole="">
            <v:imagedata r:id="rId36" o:title=""/>
          </v:shape>
          <o:OLEObject Type="Embed" ProgID="Equation.3" ShapeID="_x0000_i1040" DrawAspect="Content" ObjectID="_1322247506" r:id="rId37"/>
        </w:object>
      </w:r>
      <w:r>
        <w:t xml:space="preserve">     </w:t>
      </w:r>
      <w:r w:rsidR="003C5014">
        <w:t xml:space="preserve"> (</w:t>
      </w:r>
      <w:r w:rsidR="008C741C">
        <w:t>13</w:t>
      </w:r>
      <w:r w:rsidR="003C5014">
        <w:t>)</w:t>
      </w:r>
    </w:p>
    <w:p w:rsidR="003C5014" w:rsidRDefault="003C5014" w:rsidP="008C741C">
      <w:pPr>
        <w:ind w:firstLine="0"/>
      </w:pPr>
      <w:r>
        <w:t xml:space="preserve"> где </w:t>
      </w:r>
      <w:r>
        <w:rPr>
          <w:i/>
          <w:lang w:val="en-US"/>
        </w:rPr>
        <w:t>c</w:t>
      </w:r>
      <w:r>
        <w:t xml:space="preserve"> - скорость света, </w:t>
      </w:r>
      <w:r>
        <w:rPr>
          <w:i/>
          <w:lang w:val="en-US"/>
        </w:rPr>
        <w:t>n</w:t>
      </w:r>
      <w:r>
        <w:t xml:space="preserve"> - показатель преломления среды, заполняющей резонатор, </w:t>
      </w:r>
      <w:r>
        <w:rPr>
          <w:i/>
        </w:rPr>
        <w:t>λ</w:t>
      </w:r>
      <w:r>
        <w:rPr>
          <w:i/>
          <w:vertAlign w:val="subscript"/>
          <w:lang w:val="en-US"/>
        </w:rPr>
        <w:t>q</w:t>
      </w:r>
      <w:r>
        <w:t xml:space="preserve"> - длина волны </w:t>
      </w:r>
      <w:r>
        <w:rPr>
          <w:i/>
          <w:lang w:val="en-US"/>
        </w:rPr>
        <w:t>q</w:t>
      </w:r>
      <w:r>
        <w:t xml:space="preserve">-го колебания, </w:t>
      </w:r>
      <w:r>
        <w:rPr>
          <w:i/>
        </w:rPr>
        <w:t>ω=2π</w:t>
      </w:r>
      <w:r>
        <w:rPr>
          <w:i/>
          <w:position w:val="-6"/>
        </w:rPr>
        <w:object w:dxaOrig="200" w:dyaOrig="220">
          <v:shape id="_x0000_i1041" type="#_x0000_t75" style="width:9.75pt;height:11.25pt" o:ole="" fillcolor="window">
            <v:imagedata r:id="rId38" o:title=""/>
          </v:shape>
          <o:OLEObject Type="Embed" ProgID="Equation.3" ShapeID="_x0000_i1041" DrawAspect="Content" ObjectID="_1322247507" r:id="rId39"/>
        </w:object>
      </w:r>
      <w:r>
        <w:rPr>
          <w:i/>
        </w:rPr>
        <w:t xml:space="preserve">, </w:t>
      </w:r>
      <w:r>
        <w:rPr>
          <w:i/>
          <w:lang w:val="en-US"/>
        </w:rPr>
        <w:t>q</w:t>
      </w:r>
      <w:r>
        <w:t xml:space="preserve"> - номер вида колебаний, </w:t>
      </w:r>
      <w:r>
        <w:rPr>
          <w:spacing w:val="4"/>
        </w:rPr>
        <w:t>∆</w:t>
      </w:r>
      <w:r>
        <w:rPr>
          <w:i/>
          <w:spacing w:val="4"/>
          <w:lang w:val="en-US"/>
        </w:rPr>
        <w:t>φ</w:t>
      </w:r>
      <w:r>
        <w:rPr>
          <w:spacing w:val="4"/>
        </w:rPr>
        <w:t xml:space="preserve">-изменение фазы при отражении волны. </w:t>
      </w:r>
      <w:r>
        <w:t>Собственные колебания отличаются друг от друга числом  полуволн-</w:t>
      </w:r>
      <w:r>
        <w:rPr>
          <w:i/>
          <w:lang w:val="en-US"/>
        </w:rPr>
        <w:t>q</w:t>
      </w:r>
      <w:r>
        <w:t xml:space="preserve">, укладывающихся на длине резонатора. Частотный интервал между соседними типами продольных колебаний, у которых </w:t>
      </w:r>
      <w:r>
        <w:rPr>
          <w:i/>
          <w:lang w:val="en-US"/>
        </w:rPr>
        <w:t>q</w:t>
      </w:r>
      <w:r>
        <w:t xml:space="preserve"> отличается на 1,как следует из формулы (17.12) равен</w:t>
      </w:r>
    </w:p>
    <w:p w:rsidR="003C5014" w:rsidRPr="00DB0A6D" w:rsidRDefault="00C8707C" w:rsidP="003C5014">
      <w:r w:rsidRPr="00FF6ECC">
        <w:rPr>
          <w:position w:val="-24"/>
        </w:rPr>
        <w:object w:dxaOrig="2040" w:dyaOrig="620">
          <v:shape id="_x0000_i1042" type="#_x0000_t75" style="width:102pt;height:30.75pt" o:ole="">
            <v:imagedata r:id="rId40" o:title=""/>
          </v:shape>
          <o:OLEObject Type="Embed" ProgID="Equation.3" ShapeID="_x0000_i1042" DrawAspect="Content" ObjectID="_1322247508" r:id="rId41"/>
        </w:object>
      </w:r>
      <w:r>
        <w:t xml:space="preserve">    </w:t>
      </w:r>
      <w:r w:rsidR="0095098D" w:rsidRPr="00FF6ECC">
        <w:rPr>
          <w:position w:val="-28"/>
        </w:rPr>
        <w:object w:dxaOrig="800" w:dyaOrig="660">
          <v:shape id="_x0000_i1043" type="#_x0000_t75" style="width:39.75pt;height:33pt" o:ole="">
            <v:imagedata r:id="rId42" o:title=""/>
          </v:shape>
          <o:OLEObject Type="Embed" ProgID="Equation.3" ShapeID="_x0000_i1043" DrawAspect="Content" ObjectID="_1322247509" r:id="rId43"/>
        </w:object>
      </w:r>
      <w:r>
        <w:t xml:space="preserve">   </w:t>
      </w:r>
      <w:r w:rsidR="003C5014">
        <w:t>(</w:t>
      </w:r>
      <w:r>
        <w:t>14</w:t>
      </w:r>
      <w:r w:rsidR="003C5014">
        <w:t>)</w:t>
      </w:r>
    </w:p>
    <w:p w:rsidR="003C5014" w:rsidRPr="00DB0A6D" w:rsidRDefault="003C5014" w:rsidP="003C5014"/>
    <w:p w:rsidR="003C5014" w:rsidRDefault="003C5014" w:rsidP="003C5014">
      <w:r>
        <w:lastRenderedPageBreak/>
        <w:t xml:space="preserve">Длина резонатора </w:t>
      </w:r>
      <w:r>
        <w:rPr>
          <w:i/>
          <w:lang w:val="en-US"/>
        </w:rPr>
        <w:t>L</w:t>
      </w:r>
      <w:r>
        <w:t xml:space="preserve"> в лазерах имеет порядок 5...50см, легко подсчитать,</w:t>
      </w:r>
      <w:r>
        <w:br/>
        <w:t>что в оптическом диапазоне волн (</w:t>
      </w:r>
      <w:r>
        <w:rPr>
          <w:i/>
        </w:rPr>
        <w:t>λ</w:t>
      </w:r>
      <w:r>
        <w:t xml:space="preserve"> ≈5</w:t>
      </w:r>
      <w:r w:rsidR="005D605C">
        <w:t>·</w:t>
      </w:r>
      <w:r>
        <w:t>10</w:t>
      </w:r>
      <w:r>
        <w:rPr>
          <w:vertAlign w:val="superscript"/>
        </w:rPr>
        <w:t>–</w:t>
      </w:r>
      <w:r w:rsidR="005D605C">
        <w:rPr>
          <w:vertAlign w:val="superscript"/>
        </w:rPr>
        <w:t>8</w:t>
      </w:r>
      <w:r>
        <w:t xml:space="preserve">см), число </w:t>
      </w:r>
      <w:r w:rsidRPr="00B21E9C">
        <w:rPr>
          <w:i/>
          <w:lang w:val="en-US"/>
        </w:rPr>
        <w:t>q</w:t>
      </w:r>
      <w:r>
        <w:t>, будет очень большим  10</w:t>
      </w:r>
      <w:r>
        <w:rPr>
          <w:vertAlign w:val="superscript"/>
        </w:rPr>
        <w:t>5</w:t>
      </w:r>
      <w:r>
        <w:t xml:space="preserve"> - 10</w:t>
      </w:r>
      <w:r>
        <w:rPr>
          <w:vertAlign w:val="superscript"/>
        </w:rPr>
        <w:t>6</w:t>
      </w:r>
      <w:r>
        <w:t xml:space="preserve"> и соседние типы колебаний располагаются близко друг к другу. Помимо рассмотренных продольных колебаний существуют также колебания, образова</w:t>
      </w:r>
      <w:r>
        <w:t>н</w:t>
      </w:r>
      <w:r>
        <w:t>ные</w:t>
      </w:r>
      <w:r>
        <w:br/>
        <w:t>плоскими волнами, распространяющимися под некоторым углом к оси резонатора.</w:t>
      </w:r>
    </w:p>
    <w:p w:rsidR="003C5014" w:rsidRDefault="003C5014" w:rsidP="003C5014">
      <w:r>
        <w:t xml:space="preserve">Для случая конечных размеров зеркал, например для квадратных с размерами сторон равными </w:t>
      </w:r>
      <w:r>
        <w:rPr>
          <w:lang w:val="en-US"/>
        </w:rPr>
        <w:t>D</w:t>
      </w:r>
      <w:r>
        <w:t xml:space="preserve"> , длина волны собственных колебаний определяется выражением:</w:t>
      </w:r>
    </w:p>
    <w:p w:rsidR="003C5014" w:rsidRDefault="003C5014" w:rsidP="003C5014"/>
    <w:p w:rsidR="003C5014" w:rsidRDefault="0095098D" w:rsidP="003C5014">
      <w:r w:rsidRPr="00FF6ECC">
        <w:rPr>
          <w:position w:val="-30"/>
        </w:rPr>
        <w:object w:dxaOrig="3120" w:dyaOrig="800">
          <v:shape id="_x0000_i1044" type="#_x0000_t75" style="width:156pt;height:39.75pt" o:ole="">
            <v:imagedata r:id="rId44" o:title=""/>
          </v:shape>
          <o:OLEObject Type="Embed" ProgID="Equation.3" ShapeID="_x0000_i1044" DrawAspect="Content" ObjectID="_1322247510" r:id="rId45"/>
        </w:object>
      </w:r>
      <w:r w:rsidR="003C5014">
        <w:tab/>
      </w:r>
      <w:r w:rsidR="003C5014" w:rsidRPr="00DB0A6D">
        <w:t>(</w:t>
      </w:r>
      <w:r w:rsidR="003C5014">
        <w:t>1</w:t>
      </w:r>
      <w:r>
        <w:t>6</w:t>
      </w:r>
      <w:r w:rsidR="003C5014" w:rsidRPr="00DB0A6D">
        <w:t>)</w:t>
      </w:r>
    </w:p>
    <w:p w:rsidR="003C5014" w:rsidRDefault="003C5014" w:rsidP="003C5014"/>
    <w:p w:rsidR="003C5014" w:rsidRDefault="003C5014" w:rsidP="003C5014">
      <w:r>
        <w:rPr>
          <w:i/>
          <w:lang w:val="en-US"/>
        </w:rPr>
        <w:t>m</w:t>
      </w:r>
      <w:r>
        <w:rPr>
          <w:i/>
        </w:rPr>
        <w:t xml:space="preserve">, </w:t>
      </w:r>
      <w:r>
        <w:rPr>
          <w:i/>
          <w:lang w:val="en-US"/>
        </w:rPr>
        <w:t>n</w:t>
      </w:r>
      <w:r>
        <w:rPr>
          <w:i/>
        </w:rPr>
        <w:t xml:space="preserve">, </w:t>
      </w:r>
      <w:r>
        <w:rPr>
          <w:i/>
          <w:lang w:val="en-US"/>
        </w:rPr>
        <w:t>q</w:t>
      </w:r>
      <w:r>
        <w:t xml:space="preserve"> — целые числа, определяющие число полуволн» укладывающихся по оси </w:t>
      </w:r>
      <w:r w:rsidRPr="00B21E9C">
        <w:rPr>
          <w:i/>
        </w:rPr>
        <w:t>х</w:t>
      </w:r>
      <w:r>
        <w:t xml:space="preserve"> (число </w:t>
      </w:r>
      <w:r>
        <w:rPr>
          <w:i/>
          <w:lang w:val="en-US"/>
        </w:rPr>
        <w:t>q</w:t>
      </w:r>
      <w:r>
        <w:t xml:space="preserve">), </w:t>
      </w:r>
      <w:r>
        <w:rPr>
          <w:i/>
          <w:lang w:val="en-US"/>
        </w:rPr>
        <w:t>y</w:t>
      </w:r>
      <w:r>
        <w:t xml:space="preserve"> (число </w:t>
      </w:r>
      <w:r>
        <w:rPr>
          <w:i/>
          <w:lang w:val="en-US"/>
        </w:rPr>
        <w:t>n</w:t>
      </w:r>
      <w:r>
        <w:t xml:space="preserve">) и </w:t>
      </w:r>
      <w:r>
        <w:rPr>
          <w:i/>
          <w:lang w:val="en-US"/>
        </w:rPr>
        <w:t>z</w:t>
      </w:r>
      <w:r>
        <w:t xml:space="preserve"> (число </w:t>
      </w:r>
      <w:r>
        <w:rPr>
          <w:i/>
          <w:lang w:val="en-US"/>
        </w:rPr>
        <w:t>m</w:t>
      </w:r>
      <w:r>
        <w:t>).</w:t>
      </w:r>
    </w:p>
    <w:p w:rsidR="003C5014" w:rsidRDefault="003C5014" w:rsidP="003C5014">
      <w:r>
        <w:t>Одно из зеркал резонатора, а иногда и оба делаются частично пропускающими для вывода энергии из оптического генератора.</w:t>
      </w:r>
    </w:p>
    <w:p w:rsidR="003C5014" w:rsidRDefault="0007678D" w:rsidP="003C5014">
      <w:r>
        <w:t>Д</w:t>
      </w:r>
      <w:r w:rsidR="003C5014">
        <w:t xml:space="preserve">обротность </w:t>
      </w:r>
      <w:r w:rsidR="003C5014">
        <w:rPr>
          <w:i/>
          <w:lang w:val="en-US"/>
        </w:rPr>
        <w:t>Q</w:t>
      </w:r>
      <w:r w:rsidR="003C5014">
        <w:t xml:space="preserve"> резонатора с достаточной точностью может быть записана в виде</w:t>
      </w:r>
    </w:p>
    <w:p w:rsidR="003C5014" w:rsidRDefault="0007678D" w:rsidP="003C5014">
      <w:r w:rsidRPr="00FF6ECC">
        <w:rPr>
          <w:position w:val="-28"/>
        </w:rPr>
        <w:object w:dxaOrig="1260" w:dyaOrig="660">
          <v:shape id="_x0000_i1045" type="#_x0000_t75" style="width:63pt;height:33pt" o:ole="">
            <v:imagedata r:id="rId46" o:title=""/>
          </v:shape>
          <o:OLEObject Type="Embed" ProgID="Equation.3" ShapeID="_x0000_i1045" DrawAspect="Content" ObjectID="_1322247511" r:id="rId47"/>
        </w:object>
      </w:r>
      <w:r>
        <w:t xml:space="preserve">       (17</w:t>
      </w:r>
      <w:r w:rsidR="003C5014">
        <w:t>)</w:t>
      </w:r>
    </w:p>
    <w:p w:rsidR="003C5014" w:rsidRDefault="003C5014" w:rsidP="0095098D">
      <w:pPr>
        <w:ind w:firstLine="0"/>
      </w:pPr>
      <w:r>
        <w:t xml:space="preserve">где </w:t>
      </w:r>
      <w:r>
        <w:rPr>
          <w:i/>
          <w:lang w:val="en-US"/>
        </w:rPr>
        <w:t>β</w:t>
      </w:r>
      <w:r>
        <w:t xml:space="preserve"> - затуханиe, определяющее суммарные потери для продольных видов колебаний. </w:t>
      </w:r>
    </w:p>
    <w:p w:rsidR="00BB2DC6" w:rsidRDefault="003C5014" w:rsidP="003C5014">
      <w:r>
        <w:t xml:space="preserve">Последняя формула показывает, что добротность для всех продольных типов колебаний практически одинакова. </w:t>
      </w:r>
    </w:p>
    <w:p w:rsidR="003C5014" w:rsidRDefault="003C5014" w:rsidP="003C5014">
      <w:r>
        <w:t>Помимо плоскопараллельных резонаторов, в лазерах достаточно широко используются конфокальные, сферические и резонаторы, образованные плоскими и сферическими зеркалами. Каждый тип резонатора имеет свои достоинства и недостатки.</w:t>
      </w:r>
    </w:p>
    <w:p w:rsidR="003C5014" w:rsidRDefault="003C5014" w:rsidP="003C5014">
      <w:r>
        <w:t>Резонаторы Фабри-Перо требуют повышенной точности к установке зеркал относительно друг друга (параллельность зеркал, перпендикулярность их к оси, расстояние между зеркалами и строгая выдержка поперечных размеров) и ряд других требований.</w:t>
      </w:r>
    </w:p>
    <w:p w:rsidR="003C5014" w:rsidRDefault="003C5014" w:rsidP="003C5014">
      <w:r>
        <w:t xml:space="preserve"> Конфокальным называют резонатор, образованный двумя одинаковыми сферическими  отражателями, расположенными друг от друга на расстоянии, равном радиусу кривизны зеркала. Поскольку фокусное расстояние сферического зеркала составляет половину радиуса кривизны, то фокусы двух зеркал совпадают. Расчеты показывают, что в конфокальном резонаторе потери существенно ниже потерь в случае плоских зеркал. Это объясняется тем, что поле в конфокальном резонаторе сильно сконцентрировано у оси резонатора и поэтому быстрее спадает к краям зеркал, что </w:t>
      </w:r>
      <w:r>
        <w:lastRenderedPageBreak/>
        <w:t>уменьшает выход излучения во внешнее пространство. Кроме того, потери энергии различных типов колебаний могут сильно различаться между собой, поэтому в конфокальном резонаторе в отличие от плоскопараллельного имеется принципиальная возможность подавления высших типов колебаний.</w:t>
      </w:r>
    </w:p>
    <w:p w:rsidR="003C5014" w:rsidRDefault="003C5014" w:rsidP="003C5014">
      <w:r>
        <w:t>Сферические резонаторы имеют, как правило, расстояние между зеркалами большее по сравнению с конфокальными. Характеристики сферических резонаторов хуже, чем конфокальных. Однако такая конфигурация зеркал представляет большой интерес с точки зрения селекции видов колебаний и, кроме того, они не требуют столь высокой точности к установке и технологически более пр</w:t>
      </w:r>
      <w:r>
        <w:t>о</w:t>
      </w:r>
      <w:r>
        <w:t>сты.</w:t>
      </w:r>
    </w:p>
    <w:p w:rsidR="003C5014" w:rsidRDefault="003C5014" w:rsidP="003C5014">
      <w:r>
        <w:t>На практике очень часто используются полусферические резонаторы, в которых одно зеркало является плоским, а второе - сферическим. Добротность полусферического резонатора, как показывают расчеты, определяется главным образом сферическим зеркалом, поскольку размер пятна на нем больше, чем на плоском зеркале. Эта система характеризуется низкими потерями и малой критичностью к изменению ра</w:t>
      </w:r>
      <w:r>
        <w:t>с</w:t>
      </w:r>
      <w:r>
        <w:t>стояния.</w:t>
      </w:r>
    </w:p>
    <w:p w:rsidR="00F52DFB" w:rsidRDefault="003C5014" w:rsidP="003C5014">
      <w:r>
        <w:t>В незаполненных резонаторах спектр собственных колебаний пол</w:t>
      </w:r>
      <w:r>
        <w:softHyphen/>
        <w:t xml:space="preserve">ностью определяется конечными размерами зеркал и их конфигурацией. При наличии в резонаторе активного вещества, особенно твердотельного диэлектрика образование колебаний следует рассматривать как результат многократных отражений от зеркал различных типов поверхностных волн, распространяющихся вдоль диэлектрического волновода. При этом надо учитывать и дифракционные явления на зеркалах, которые </w:t>
      </w:r>
      <w:r>
        <w:br/>
        <w:t>будут приводить к изменению структуры поверхностных волн при каждом</w:t>
      </w:r>
      <w:r>
        <w:br/>
        <w:t>отражении.</w:t>
      </w:r>
    </w:p>
    <w:p w:rsidR="003C5014" w:rsidRDefault="003C5014" w:rsidP="003C5014"/>
    <w:p w:rsidR="003C5014" w:rsidRPr="00530C1F" w:rsidRDefault="003C5014" w:rsidP="003C5014">
      <w:pPr>
        <w:rPr>
          <w:i/>
        </w:rPr>
      </w:pPr>
      <w:r w:rsidRPr="00530C1F">
        <w:rPr>
          <w:i/>
        </w:rPr>
        <w:t>Условие баланса мощности и фаз в оптических квантовых генераторах.</w:t>
      </w:r>
    </w:p>
    <w:p w:rsidR="003C5014" w:rsidRDefault="003C5014" w:rsidP="003C5014">
      <w:pPr>
        <w:rPr>
          <w:szCs w:val="28"/>
        </w:rPr>
      </w:pPr>
      <w:r w:rsidRPr="00CE3BC2">
        <w:rPr>
          <w:szCs w:val="28"/>
        </w:rPr>
        <w:t xml:space="preserve">Поле в резонаторе можно представить как сумму волн, распространяющихся в противоположных направлениях и отражающихся от зеркал. Если помимо коэффициентов отражения от зеркал </w:t>
      </w:r>
      <w:r w:rsidRPr="00CE3BC2">
        <w:rPr>
          <w:szCs w:val="28"/>
          <w:lang w:val="en-US"/>
        </w:rPr>
        <w:t>r</w:t>
      </w:r>
      <w:r w:rsidRPr="00CE3BC2">
        <w:rPr>
          <w:szCs w:val="28"/>
          <w:vertAlign w:val="subscript"/>
        </w:rPr>
        <w:t>1</w:t>
      </w:r>
      <w:r w:rsidRPr="00CE3BC2">
        <w:rPr>
          <w:szCs w:val="28"/>
        </w:rPr>
        <w:t xml:space="preserve"> и </w:t>
      </w:r>
      <w:r w:rsidRPr="00CE3BC2">
        <w:rPr>
          <w:szCs w:val="28"/>
          <w:lang w:val="en-US"/>
        </w:rPr>
        <w:t>r</w:t>
      </w:r>
      <w:r w:rsidRPr="00CE3BC2">
        <w:rPr>
          <w:szCs w:val="28"/>
          <w:vertAlign w:val="subscript"/>
        </w:rPr>
        <w:t>2</w:t>
      </w:r>
      <w:r w:rsidRPr="00CE3BC2">
        <w:rPr>
          <w:szCs w:val="28"/>
        </w:rPr>
        <w:t xml:space="preserve"> учесть дифракционные потери ξ, потери на единицу длины активной среды</w:t>
      </w:r>
      <w:r w:rsidR="00BB2DC6">
        <w:rPr>
          <w:szCs w:val="28"/>
        </w:rPr>
        <w:t xml:space="preserve"> </w:t>
      </w:r>
      <w:r w:rsidR="00BB2DC6" w:rsidRPr="00BB2DC6">
        <w:rPr>
          <w:rFonts w:ascii="Symbol" w:hAnsi="Symbol"/>
          <w:i/>
          <w:szCs w:val="28"/>
          <w:lang w:val="en-US"/>
        </w:rPr>
        <w:t></w:t>
      </w:r>
      <w:r w:rsidRPr="00CE3BC2">
        <w:rPr>
          <w:szCs w:val="28"/>
        </w:rPr>
        <w:t>, то условие равновесия в квантовом генераторе можно зап</w:t>
      </w:r>
      <w:r w:rsidRPr="00CE3BC2">
        <w:rPr>
          <w:szCs w:val="28"/>
        </w:rPr>
        <w:t>и</w:t>
      </w:r>
      <w:r w:rsidRPr="00CE3BC2">
        <w:rPr>
          <w:szCs w:val="28"/>
        </w:rPr>
        <w:t>сать в виде</w:t>
      </w:r>
    </w:p>
    <w:p w:rsidR="00BB2DC6" w:rsidRDefault="008A2E38" w:rsidP="00BB2DC6">
      <w:pPr>
        <w:ind w:firstLine="0"/>
      </w:pPr>
      <w:r w:rsidRPr="00FF6ECC">
        <w:rPr>
          <w:position w:val="-10"/>
        </w:rPr>
        <w:object w:dxaOrig="2299" w:dyaOrig="380">
          <v:shape id="_x0000_i1046" type="#_x0000_t75" style="width:114.75pt;height:18.75pt" o:ole="">
            <v:imagedata r:id="rId48" o:title=""/>
          </v:shape>
          <o:OLEObject Type="Embed" ProgID="Equation.3" ShapeID="_x0000_i1046" DrawAspect="Content" ObjectID="_1322247512" r:id="rId49"/>
        </w:object>
      </w:r>
      <w:r w:rsidR="00BB2DC6">
        <w:t xml:space="preserve">   (18)</w:t>
      </w:r>
    </w:p>
    <w:p w:rsidR="003C5014" w:rsidRPr="00CE3BC2" w:rsidRDefault="003C5014" w:rsidP="00BB2DC6">
      <w:pPr>
        <w:ind w:firstLine="0"/>
        <w:rPr>
          <w:bCs/>
          <w:szCs w:val="24"/>
        </w:rPr>
      </w:pPr>
      <w:r>
        <w:rPr>
          <w:spacing w:val="6"/>
        </w:rPr>
        <w:t xml:space="preserve">где  </w:t>
      </w:r>
      <w:r w:rsidRPr="00CE3BC2">
        <w:rPr>
          <w:i/>
          <w:spacing w:val="6"/>
          <w:lang w:val="en-US"/>
        </w:rPr>
        <w:t>L</w:t>
      </w:r>
      <w:r>
        <w:rPr>
          <w:spacing w:val="6"/>
        </w:rPr>
        <w:t>- расстояние между зеркалами резонатора,</w:t>
      </w:r>
      <w:r w:rsidR="00BB2DC6">
        <w:rPr>
          <w:spacing w:val="6"/>
        </w:rPr>
        <w:t xml:space="preserve"> </w:t>
      </w:r>
      <w:r>
        <w:rPr>
          <w:spacing w:val="6"/>
          <w:lang w:val="en-US"/>
        </w:rPr>
        <w:t>α</w:t>
      </w:r>
      <w:r>
        <w:rPr>
          <w:spacing w:val="6"/>
        </w:rPr>
        <w:t xml:space="preserve"> - коэффициент усиления на единицу длины в активной среде.</w:t>
      </w:r>
    </w:p>
    <w:p w:rsidR="003C5014" w:rsidRPr="00DB0A6D" w:rsidRDefault="003C5014" w:rsidP="003C5014">
      <w:pPr>
        <w:rPr>
          <w:spacing w:val="6"/>
        </w:rPr>
      </w:pPr>
      <w:r>
        <w:rPr>
          <w:spacing w:val="6"/>
        </w:rPr>
        <w:t xml:space="preserve"> Последнее выражение  является условием баланса амплитуд для существования стационарного режима генерации, при котором индуцированное излучение превышает суммарные потери в системе. Условие баланса фаз представляется в следующем виде:</w:t>
      </w:r>
    </w:p>
    <w:p w:rsidR="007453A4" w:rsidRDefault="007453A4" w:rsidP="003C5014">
      <w:r w:rsidRPr="00FF6ECC">
        <w:rPr>
          <w:position w:val="-24"/>
        </w:rPr>
        <w:object w:dxaOrig="2500" w:dyaOrig="620">
          <v:shape id="_x0000_i1047" type="#_x0000_t75" style="width:125.25pt;height:30.75pt" o:ole="">
            <v:imagedata r:id="rId50" o:title=""/>
          </v:shape>
          <o:OLEObject Type="Embed" ProgID="Equation.3" ShapeID="_x0000_i1047" DrawAspect="Content" ObjectID="_1322247513" r:id="rId51"/>
        </w:object>
      </w:r>
      <w:r>
        <w:t xml:space="preserve">      (19)</w:t>
      </w:r>
    </w:p>
    <w:p w:rsidR="003C5014" w:rsidRDefault="003C5014" w:rsidP="007453A4">
      <w:pPr>
        <w:ind w:firstLine="0"/>
      </w:pPr>
      <w:r>
        <w:t xml:space="preserve">где </w:t>
      </w:r>
      <w:r>
        <w:rPr>
          <w:position w:val="-10"/>
        </w:rPr>
        <w:object w:dxaOrig="440" w:dyaOrig="340">
          <v:shape id="_x0000_i1048" type="#_x0000_t75" style="width:21.75pt;height:17.25pt" o:ole="" fillcolor="window">
            <v:imagedata r:id="rId52" o:title=""/>
          </v:shape>
          <o:OLEObject Type="Embed" ProgID="Equation.3" ShapeID="_x0000_i1048" DrawAspect="Content" ObjectID="_1322247514" r:id="rId53"/>
        </w:object>
      </w:r>
      <w:r>
        <w:t xml:space="preserve">, </w:t>
      </w:r>
      <w:r>
        <w:rPr>
          <w:position w:val="-10"/>
        </w:rPr>
        <w:object w:dxaOrig="460" w:dyaOrig="340">
          <v:shape id="_x0000_i1049" type="#_x0000_t75" style="width:23.25pt;height:17.25pt" o:ole="" fillcolor="window">
            <v:imagedata r:id="rId54" o:title=""/>
          </v:shape>
          <o:OLEObject Type="Embed" ProgID="Equation.3" ShapeID="_x0000_i1049" DrawAspect="Content" ObjectID="_1322247515" r:id="rId55"/>
        </w:object>
      </w:r>
      <w:r>
        <w:t>-изменение фазы при отражении от зеркал резонатора.</w:t>
      </w:r>
    </w:p>
    <w:p w:rsidR="007453A4" w:rsidRDefault="003C5014" w:rsidP="003C5014">
      <w:pPr>
        <w:rPr>
          <w:spacing w:val="6"/>
        </w:rPr>
      </w:pPr>
      <w:r>
        <w:rPr>
          <w:spacing w:val="6"/>
        </w:rPr>
        <w:t>У</w:t>
      </w:r>
      <w:r w:rsidR="007453A4">
        <w:rPr>
          <w:spacing w:val="6"/>
        </w:rPr>
        <w:t>словие баланса фаз в формуле (</w:t>
      </w:r>
      <w:r>
        <w:rPr>
          <w:spacing w:val="6"/>
        </w:rPr>
        <w:t>19) означает, что в равновесном состоянии волна, пройдя путь 2</w:t>
      </w:r>
      <w:r>
        <w:rPr>
          <w:i/>
          <w:spacing w:val="6"/>
          <w:lang w:val="en-US"/>
        </w:rPr>
        <w:t>L</w:t>
      </w:r>
      <w:r>
        <w:rPr>
          <w:spacing w:val="6"/>
        </w:rPr>
        <w:t xml:space="preserve"> в резонаторе и дважды отразившись от зеркал получает фазовый сдвиг, кратный целому числу периодов. Тем самым в генераторе обеспечивается положительная обратная связь, благодаря этому непрерывно воспроизводятся колебания неизменной частоты.</w:t>
      </w:r>
      <w:r w:rsidR="007453A4">
        <w:rPr>
          <w:spacing w:val="6"/>
        </w:rPr>
        <w:t xml:space="preserve"> </w:t>
      </w:r>
    </w:p>
    <w:p w:rsidR="00141EC0" w:rsidRDefault="00E95A97" w:rsidP="003C5014">
      <w:r>
        <w:rPr>
          <w:noProof/>
        </w:rPr>
        <w:drawing>
          <wp:anchor distT="0" distB="0" distL="114300" distR="114300" simplePos="0" relativeHeight="251658240" behindDoc="0" locked="0" layoutInCell="1" allowOverlap="1">
            <wp:simplePos x="0" y="0"/>
            <wp:positionH relativeFrom="column">
              <wp:posOffset>114300</wp:posOffset>
            </wp:positionH>
            <wp:positionV relativeFrom="paragraph">
              <wp:posOffset>986790</wp:posOffset>
            </wp:positionV>
            <wp:extent cx="1905000" cy="5600700"/>
            <wp:effectExtent l="1905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a:stretch>
                      <a:fillRect/>
                    </a:stretch>
                  </pic:blipFill>
                  <pic:spPr bwMode="auto">
                    <a:xfrm>
                      <a:off x="0" y="0"/>
                      <a:ext cx="1905000" cy="5600700"/>
                    </a:xfrm>
                    <a:prstGeom prst="rect">
                      <a:avLst/>
                    </a:prstGeom>
                    <a:noFill/>
                    <a:ln w="9525">
                      <a:noFill/>
                      <a:miter lim="800000"/>
                      <a:headEnd/>
                      <a:tailEnd/>
                    </a:ln>
                  </pic:spPr>
                </pic:pic>
              </a:graphicData>
            </a:graphic>
          </wp:anchor>
        </w:drawing>
      </w:r>
      <w:r w:rsidR="003C5014">
        <w:rPr>
          <w:spacing w:val="6"/>
        </w:rPr>
        <w:t xml:space="preserve">В формуле (18) (баланс мощности) экспоненциальный член </w:t>
      </w:r>
      <w:r w:rsidR="003C5014">
        <w:rPr>
          <w:i/>
          <w:spacing w:val="6"/>
          <w:lang w:val="en-US"/>
        </w:rPr>
        <w:t>e</w:t>
      </w:r>
      <w:r w:rsidR="003C5014">
        <w:rPr>
          <w:i/>
          <w:spacing w:val="6"/>
          <w:vertAlign w:val="superscript"/>
        </w:rPr>
        <w:t>2α</w:t>
      </w:r>
      <w:r w:rsidR="003C5014">
        <w:rPr>
          <w:i/>
          <w:spacing w:val="6"/>
          <w:vertAlign w:val="superscript"/>
          <w:lang w:val="en-US"/>
        </w:rPr>
        <w:t>L</w:t>
      </w:r>
      <w:r w:rsidR="003C5014">
        <w:rPr>
          <w:spacing w:val="6"/>
        </w:rPr>
        <w:t xml:space="preserve"> описывает индуцированное усиление, а остальные члены в левой части равенства описывает потери. Отсюда следует, что колебания в ОКГ будут существовать лишь в том случае, если индуцированное усиление в активной среде компенсирует все потери в резонаторе. Чтобы колебания в ОКГ поддерживались непрерывно, коэффициент усиления в активной среде, </w:t>
      </w:r>
      <w:r w:rsidR="00141EC0" w:rsidRPr="00FF6ECC">
        <w:rPr>
          <w:position w:val="-24"/>
        </w:rPr>
        <w:object w:dxaOrig="3140" w:dyaOrig="620">
          <v:shape id="_x0000_i1050" type="#_x0000_t75" style="width:156.75pt;height:30.75pt" o:ole="">
            <v:imagedata r:id="rId57" o:title=""/>
          </v:shape>
          <o:OLEObject Type="Embed" ProgID="Equation.3" ShapeID="_x0000_i1050" DrawAspect="Content" ObjectID="_1322247516" r:id="rId58"/>
        </w:object>
      </w:r>
      <w:r w:rsidR="00141EC0">
        <w:t xml:space="preserve">    (20)</w:t>
      </w:r>
    </w:p>
    <w:p w:rsidR="003C5014" w:rsidRDefault="003C5014" w:rsidP="003C5014"/>
    <w:p w:rsidR="003C5014" w:rsidRDefault="003C5014" w:rsidP="003C5014">
      <w:pPr>
        <w:rPr>
          <w:spacing w:val="6"/>
        </w:rPr>
      </w:pPr>
      <w:r w:rsidRPr="001B7A41">
        <w:rPr>
          <w:i/>
          <w:spacing w:val="6"/>
        </w:rPr>
        <w:t>Спектр излучения</w:t>
      </w:r>
      <w:r>
        <w:rPr>
          <w:spacing w:val="6"/>
        </w:rPr>
        <w:t>. Количество типов колебаний, которые могут возникнуть в резонаторе, определяется спектральным контуром излучения активного вещества (рисунок17.4,а) и резонансными свойствами интерферометра (рисунок 17.4, б). На рисунке 17.4, б показаны только аксиальные моды колебаний.</w:t>
      </w:r>
    </w:p>
    <w:p w:rsidR="003C5014" w:rsidRDefault="003C5014" w:rsidP="003C5014">
      <w:pPr>
        <w:rPr>
          <w:spacing w:val="6"/>
        </w:rPr>
      </w:pPr>
      <w:r>
        <w:rPr>
          <w:spacing w:val="6"/>
        </w:rPr>
        <w:t xml:space="preserve">В случае, когда инверсия населенностей очень мала и ни на одной из частот резонатора не выполняется условие баланса амплитуд, в системе возможно лишь спонтанное излучение, спектр которого определяется в основном формой контура спектральной линии активной среды. С увеличением инверсии населенностей на рабочем переходе усиление в активной среде возрастает и условие баланса амплитуд, сначала выполняется для одной или нескольких аксиальных мод колебаний, как правило для частот, расположенных </w:t>
      </w:r>
      <w:r>
        <w:rPr>
          <w:spacing w:val="6"/>
        </w:rPr>
        <w:lastRenderedPageBreak/>
        <w:t>близко к частотам спектрального контура активной среды и соответствующих области максимума контура. В этом случае на фоне спонтанного излучения будут выделяться интенсивные колебания на отдельных частотах.</w:t>
      </w:r>
    </w:p>
    <w:p w:rsidR="003C5014" w:rsidRDefault="003C5014" w:rsidP="003C5014">
      <w:pPr>
        <w:rPr>
          <w:spacing w:val="6"/>
        </w:rPr>
      </w:pPr>
      <w:r>
        <w:rPr>
          <w:spacing w:val="6"/>
        </w:rPr>
        <w:t>При дальнейшем росте инверсии населенностей усиление в актив</w:t>
      </w:r>
      <w:r>
        <w:rPr>
          <w:spacing w:val="6"/>
        </w:rPr>
        <w:softHyphen/>
        <w:t>ной среде на всех частотах резонатора увеличится и условие баланса амплитуд будет выполняться для большего числа мод колебаний резонатора, т.е. спектр излучения расширяется (рисунок 17.4,в). В диапазоне СВЧ ширина спектральной линии излучения достаточна мала и условие баланса амплитуд выполняется, как правило, лишь для одной частоты. В оптическом же диапазоне ширина спектральной линии превышает несколько сотен мегагерц, и в её пределах раз</w:t>
      </w:r>
      <w:r>
        <w:rPr>
          <w:spacing w:val="6"/>
        </w:rPr>
        <w:softHyphen/>
        <w:t>мещаются частоты значительного числа как аксиальных (несколько десятков), так и поперечных типов колебаний, частоты которых груп</w:t>
      </w:r>
      <w:r>
        <w:rPr>
          <w:spacing w:val="6"/>
        </w:rPr>
        <w:softHyphen/>
        <w:t xml:space="preserve">пируются около аксиальных мод (рисунок 17.4,г). Ширина диапазона частот, в котором распределяются поперечные типы колебаний, составляет обычно единицы мегагерц. </w:t>
      </w:r>
    </w:p>
    <w:p w:rsidR="003C5014" w:rsidRDefault="003C5014" w:rsidP="003C5014">
      <w:pPr>
        <w:rPr>
          <w:spacing w:val="6"/>
        </w:rPr>
      </w:pPr>
      <w:r>
        <w:rPr>
          <w:spacing w:val="6"/>
        </w:rPr>
        <w:t>Анализ спектра излучения лазера показывает, что на структуру спектра излучения существенное влияние оказывает тип активной среды, характер уширения спектральной линии и пространственная модуляция инверсной населенности.</w:t>
      </w:r>
    </w:p>
    <w:p w:rsidR="003C5014" w:rsidRDefault="003C5014" w:rsidP="003C5014">
      <w:pPr>
        <w:rPr>
          <w:spacing w:val="6"/>
        </w:rPr>
      </w:pPr>
      <w:r>
        <w:rPr>
          <w:spacing w:val="6"/>
        </w:rPr>
        <w:t>Наличие многих частот в спектре излучения ОКГ часто является существенным недостатком. Например, в связной линии оптического диапазона это может привести к появлению в приемнике ряда комбинационных частот, которые представляют помеху для сигнала. Сужение спектра излучения принципиально может быть достигнуто различными путями: снижением интенсивности накачки до величины близкой к порогу возбуждения генератора (ситуация подобная рисунок 17.4,в); путем увеличения потерь для нежелательных типов колебаний до величин, чтобы условие баланса амплитуд для них не выполнялось; использованием фокусирующих линз и диафрагм в резонаторе; за счет использования полусферического резонатора, состоящего из плоского и сфери</w:t>
      </w:r>
      <w:r>
        <w:rPr>
          <w:spacing w:val="6"/>
        </w:rPr>
        <w:softHyphen/>
        <w:t>ческого зеркал, которые располагаются на расстоянии приблизительно равном радиусу кривизны сферического зеркала (этим методом селектируются поперечные типы колебаний); применением "неустойчивых" резонаторов, в которых поле вне их внутренней полости зеркалами не концентрируется, а рассеивается; расположением диспергирующих призм между плоскими зеркалами и т.д.</w:t>
      </w:r>
    </w:p>
    <w:p w:rsidR="003C5014" w:rsidRDefault="003C5014" w:rsidP="003C5014">
      <w:pPr>
        <w:rPr>
          <w:spacing w:val="6"/>
        </w:rPr>
      </w:pPr>
      <w:r w:rsidRPr="001B7A41">
        <w:rPr>
          <w:i/>
          <w:spacing w:val="6"/>
        </w:rPr>
        <w:t>Направленность и поляризация излучения ОКГ.</w:t>
      </w:r>
      <w:r>
        <w:rPr>
          <w:spacing w:val="6"/>
        </w:rPr>
        <w:t xml:space="preserve"> Характерной чертой квантовых генераторов является высокая направленность излучения, что обусловлено когерентностью и монохромотичностью излучения и большими размерами </w:t>
      </w:r>
      <w:r>
        <w:rPr>
          <w:spacing w:val="6"/>
        </w:rPr>
        <w:lastRenderedPageBreak/>
        <w:t xml:space="preserve">излучающей системы по сравнению с длиной волны излучения. Предельно достижимая расходимость определяется дифракционными явлениями и в этом случае ширина диаграммы направленности по уровню половинной мощности – </w:t>
      </w:r>
      <w:r>
        <w:rPr>
          <w:i/>
          <w:spacing w:val="6"/>
        </w:rPr>
        <w:t>θ</w:t>
      </w:r>
      <w:r>
        <w:rPr>
          <w:i/>
          <w:spacing w:val="6"/>
          <w:vertAlign w:val="subscript"/>
        </w:rPr>
        <w:t>0,5</w:t>
      </w:r>
      <w:r>
        <w:rPr>
          <w:spacing w:val="6"/>
        </w:rPr>
        <w:t xml:space="preserve"> определяется формулой </w:t>
      </w:r>
      <w:r>
        <w:rPr>
          <w:i/>
          <w:spacing w:val="6"/>
        </w:rPr>
        <w:t>θ</w:t>
      </w:r>
      <w:r>
        <w:rPr>
          <w:i/>
          <w:spacing w:val="6"/>
          <w:vertAlign w:val="subscript"/>
        </w:rPr>
        <w:t>0,5</w:t>
      </w:r>
      <w:r>
        <w:rPr>
          <w:i/>
          <w:spacing w:val="6"/>
        </w:rPr>
        <w:t>=</w:t>
      </w:r>
      <w:r>
        <w:rPr>
          <w:i/>
          <w:spacing w:val="6"/>
          <w:position w:val="-6"/>
        </w:rPr>
        <w:object w:dxaOrig="220" w:dyaOrig="279">
          <v:shape id="_x0000_i1051" type="#_x0000_t75" style="width:11.25pt;height:14.25pt" o:ole="" fillcolor="window">
            <v:imagedata r:id="rId59" o:title=""/>
          </v:shape>
          <o:OLEObject Type="Embed" ProgID="Equation.3" ShapeID="_x0000_i1051" DrawAspect="Content" ObjectID="_1322247517" r:id="rId60"/>
        </w:object>
      </w:r>
      <w:r>
        <w:rPr>
          <w:i/>
          <w:spacing w:val="6"/>
        </w:rPr>
        <w:t>/</w:t>
      </w:r>
      <w:r>
        <w:rPr>
          <w:i/>
          <w:spacing w:val="6"/>
          <w:lang w:val="en-US"/>
        </w:rPr>
        <w:t>D</w:t>
      </w:r>
      <w:r>
        <w:rPr>
          <w:i/>
          <w:spacing w:val="6"/>
        </w:rPr>
        <w:t xml:space="preserve"> ,</w:t>
      </w:r>
      <w:r>
        <w:rPr>
          <w:spacing w:val="6"/>
        </w:rPr>
        <w:t xml:space="preserve">где </w:t>
      </w:r>
      <w:r>
        <w:rPr>
          <w:spacing w:val="6"/>
          <w:lang w:val="en-US"/>
        </w:rPr>
        <w:t>D</w:t>
      </w:r>
      <w:r>
        <w:rPr>
          <w:spacing w:val="6"/>
        </w:rPr>
        <w:t xml:space="preserve"> - диаметр круглого зеркала.</w:t>
      </w:r>
      <w:r w:rsidR="00F522E3" w:rsidRPr="00F522E3">
        <w:rPr>
          <w:spacing w:val="6"/>
        </w:rPr>
        <w:t xml:space="preserve"> </w:t>
      </w:r>
      <w:r w:rsidR="00F522E3">
        <w:rPr>
          <w:spacing w:val="6"/>
        </w:rPr>
        <w:t>Таким образом, для лазеров</w:t>
      </w:r>
      <w:r w:rsidR="00141EC0">
        <w:rPr>
          <w:spacing w:val="6"/>
        </w:rPr>
        <w:t xml:space="preserve"> теоретическая</w:t>
      </w:r>
      <w:r w:rsidR="00F522E3">
        <w:rPr>
          <w:spacing w:val="6"/>
        </w:rPr>
        <w:t xml:space="preserve"> направленность излучения, является</w:t>
      </w:r>
      <w:r w:rsidR="00F522E3">
        <w:rPr>
          <w:smallCaps/>
          <w:spacing w:val="6"/>
        </w:rPr>
        <w:t xml:space="preserve"> </w:t>
      </w:r>
      <w:r w:rsidR="00F522E3">
        <w:rPr>
          <w:spacing w:val="6"/>
        </w:rPr>
        <w:t>весьма высокой, что позволяет получить высокое угловое разрешение в оптических локаторах и высокую угловую точность в системах наведения по лучу, обеспечить высокую скрытность при передаче информации, повысить дальность действия систем связи, локации и управления без увеличения излучающей мощности.</w:t>
      </w:r>
    </w:p>
    <w:p w:rsidR="003C5014" w:rsidRDefault="003C5014" w:rsidP="003C5014">
      <w:pPr>
        <w:rPr>
          <w:spacing w:val="6"/>
        </w:rPr>
      </w:pPr>
      <w:r>
        <w:rPr>
          <w:spacing w:val="6"/>
        </w:rPr>
        <w:t xml:space="preserve">Типичное значение величины  </w:t>
      </w:r>
      <w:r w:rsidRPr="001B7A41">
        <w:rPr>
          <w:i/>
          <w:spacing w:val="6"/>
          <w:lang w:val="en-US"/>
        </w:rPr>
        <w:t>θ</w:t>
      </w:r>
      <w:r w:rsidRPr="001B7A41">
        <w:rPr>
          <w:i/>
          <w:spacing w:val="6"/>
          <w:vertAlign w:val="subscript"/>
        </w:rPr>
        <w:t>0.5</w:t>
      </w:r>
      <w:r>
        <w:rPr>
          <w:spacing w:val="6"/>
          <w:vertAlign w:val="subscript"/>
        </w:rPr>
        <w:t xml:space="preserve"> </w:t>
      </w:r>
      <w:r>
        <w:rPr>
          <w:spacing w:val="6"/>
        </w:rPr>
        <w:t xml:space="preserve">для многих типов лазеров составляют от единиц до нескольких десятков угловых минут, что превышает предельные теоретические значения в 20-50 раз. </w:t>
      </w:r>
    </w:p>
    <w:p w:rsidR="003C5014" w:rsidRDefault="003C5014" w:rsidP="003C5014">
      <w:pPr>
        <w:rPr>
          <w:spacing w:val="6"/>
        </w:rPr>
      </w:pPr>
      <w:r>
        <w:rPr>
          <w:spacing w:val="6"/>
        </w:rPr>
        <w:t>Увеличение расходимости луча реального лазера по сравнению с предельными теоретическими значениями обуславливается следующими причинами: сферичностью волны на выходе ОКГ, многомодовостью излучения, наличием неоднородностей в активной среде и несовершенством элементов резонатора. Все эти причины в основном вызывают искажение распределения поля на зеркалах резонатора. Искажение диаграммы излучения сводятся к появлению нескольких максимумов, их смещению относительно центральной оси всей диаграммы. Влияние оптических неоднородностей наиболее сильно проявляется в полупроводниковых лазерах, в меньшей мере в твердотельных, и почти отсутствует - в газовых.</w:t>
      </w:r>
    </w:p>
    <w:p w:rsidR="003C5014" w:rsidRDefault="003C5014" w:rsidP="003C5014">
      <w:pPr>
        <w:rPr>
          <w:spacing w:val="6"/>
        </w:rPr>
      </w:pPr>
      <w:r>
        <w:rPr>
          <w:spacing w:val="6"/>
        </w:rPr>
        <w:t>Уменьшение расходимости излучения на выходе лазеров достигается в первую очередь путем устранения высших поперечных типов колебаний. Наибольшую направленность имеют одномодовые лазеры, в которых возбуждается только один тип колебаний ТЕМ</w:t>
      </w:r>
      <w:r>
        <w:rPr>
          <w:spacing w:val="6"/>
          <w:vertAlign w:val="subscript"/>
        </w:rPr>
        <w:t>00</w:t>
      </w:r>
      <w:r>
        <w:rPr>
          <w:spacing w:val="6"/>
        </w:rPr>
        <w:t>. Проблема обеспечения одномодового режима в газовых лазерах небольшой мощности решена. Для твердотельных лазеров, активная среда которых обладает большим усилением, обеспечение одномодового режима достаточно сложно, так как трудно создать   значительные потери для высших типов колебаний не ухудшая   энергетические характеристики генератора.</w:t>
      </w:r>
    </w:p>
    <w:p w:rsidR="003C5014" w:rsidRDefault="003C5014" w:rsidP="003C5014">
      <w:pPr>
        <w:rPr>
          <w:spacing w:val="6"/>
        </w:rPr>
      </w:pPr>
      <w:r>
        <w:rPr>
          <w:spacing w:val="6"/>
        </w:rPr>
        <w:t xml:space="preserve">Важным параметром лазеров является </w:t>
      </w:r>
      <w:r w:rsidRPr="00897BCE">
        <w:rPr>
          <w:i/>
          <w:spacing w:val="6"/>
        </w:rPr>
        <w:t>поляризация излучения</w:t>
      </w:r>
      <w:r>
        <w:rPr>
          <w:spacing w:val="6"/>
        </w:rPr>
        <w:t xml:space="preserve">, под которой понимается преимущественное направление вектора электрического поля. В лазерах поляризация излучения определяется величиной усиления в резонаторе для волн различной поляризации, что обуславливается или самой активной средой, или введенными в резонатор   поляризующими элементами. Когда поляризующие элементы (устройства) отсутствуют и активная среда изотропна, условия </w:t>
      </w:r>
      <w:r>
        <w:rPr>
          <w:spacing w:val="6"/>
        </w:rPr>
        <w:lastRenderedPageBreak/>
        <w:t>возникновения коле</w:t>
      </w:r>
      <w:r>
        <w:rPr>
          <w:spacing w:val="6"/>
        </w:rPr>
        <w:softHyphen/>
        <w:t>баний для всех плоскостей поляризации одинаковы, т.е. излучение оказывается неполяризованным. В большинстве случаев излучение лазеров оказывается плоскополяризованным, что часто связано с мерами по уменьшению внутренних паразитных потерь на отражение. В резонаторе для уменьшения паразитных отражений граничные поверхности активно</w:t>
      </w:r>
      <w:r w:rsidR="00F522E3">
        <w:rPr>
          <w:spacing w:val="6"/>
        </w:rPr>
        <w:t>й</w:t>
      </w:r>
      <w:r>
        <w:rPr>
          <w:spacing w:val="6"/>
        </w:rPr>
        <w:t xml:space="preserve"> среды выполняются не перпендикулярными к оси резонатора, а наклонными.</w:t>
      </w:r>
    </w:p>
    <w:p w:rsidR="003C5014" w:rsidRDefault="003C5014" w:rsidP="003C5014">
      <w:pPr>
        <w:rPr>
          <w:spacing w:val="6"/>
        </w:rPr>
      </w:pPr>
      <w:r>
        <w:rPr>
          <w:spacing w:val="6"/>
        </w:rPr>
        <w:t xml:space="preserve">Зависимость коэффициента отражения плоскопараллельной стеклянной пластинки от угла падения луча для различной ориентации показывает, что отражение для излучения, поляризованного в плоскости падения при некотором угле </w:t>
      </w:r>
      <w:r w:rsidRPr="00897BCE">
        <w:rPr>
          <w:i/>
          <w:spacing w:val="6"/>
        </w:rPr>
        <w:t>φ</w:t>
      </w:r>
      <w:r w:rsidRPr="00897BCE">
        <w:rPr>
          <w:i/>
          <w:spacing w:val="6"/>
          <w:vertAlign w:val="subscript"/>
        </w:rPr>
        <w:t>о</w:t>
      </w:r>
      <w:r>
        <w:rPr>
          <w:spacing w:val="6"/>
        </w:rPr>
        <w:t xml:space="preserve"> (угле Брюстера) близко к нулю. Это свойство широко используется в лазерах. В газовых лазерах окна газоразрядной кюветы выполняются под углом Брюстера. То же самое можно сказать и о твердотельных лазерах, где грани стержней активного вещества также часто скашивают под углом Брюстера. Такое выполнение элементов активной среды определяет поляризацию излучения. Для излучения, поляризованного в плоскости падения, потери в резонаторе минимальны это обычно и реализуется в больши</w:t>
      </w:r>
      <w:r>
        <w:rPr>
          <w:spacing w:val="6"/>
        </w:rPr>
        <w:t>н</w:t>
      </w:r>
      <w:r>
        <w:rPr>
          <w:spacing w:val="6"/>
        </w:rPr>
        <w:t>стве лазеров.</w:t>
      </w:r>
    </w:p>
    <w:p w:rsidR="003C5014" w:rsidRDefault="003C5014" w:rsidP="003C5014">
      <w:r>
        <w:t>Поляризация излучения может определяться и самой активной средой, особенно кристаллической. Как правило, усиление в кристалле зависит от угла между его оптической осью и плоскостью поляризации света. Так, например, в рубине наибольшая вероятность индуцированных переходов и наибольшее усиление наблюдается для излучения, плоскость поляризации которого перпендикулярна оптической оси, т.е. когда оптическая ось кристалла перпендикулярна оси резонатора. Излучение лазера в этом случае будет поляризованным в плоскости перпендикулярной оптической оси кристалла. Для излучения, поляризованного в этой плоскости, баланс амплитуд выполняется в первую очередь. Именно это излучение и возникает в лазере. В оптических линиях связи использование поляризационной модуляции позволяет увеличить, по сравнению с амплитудной, дальность действия системы за счет уменьшения потерь света при модуляции.</w:t>
      </w:r>
    </w:p>
    <w:p w:rsidR="003C5014" w:rsidRPr="003C5014" w:rsidRDefault="003C5014" w:rsidP="003C5014">
      <w:pPr>
        <w:rPr>
          <w:spacing w:val="6"/>
        </w:rPr>
      </w:pPr>
    </w:p>
    <w:sectPr w:rsidR="003C5014" w:rsidRPr="003C5014">
      <w:headerReference w:type="even" r:id="rId61"/>
      <w:headerReference w:type="default" r:id="rId6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BAA" w:rsidRDefault="00660BAA">
      <w:pPr>
        <w:spacing w:line="240" w:lineRule="auto"/>
      </w:pPr>
      <w:r>
        <w:separator/>
      </w:r>
    </w:p>
  </w:endnote>
  <w:endnote w:type="continuationSeparator" w:id="0">
    <w:p w:rsidR="00660BAA" w:rsidRDefault="00660B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BAA" w:rsidRDefault="00660BAA">
      <w:pPr>
        <w:spacing w:line="240" w:lineRule="auto"/>
      </w:pPr>
      <w:r>
        <w:separator/>
      </w:r>
    </w:p>
  </w:footnote>
  <w:footnote w:type="continuationSeparator" w:id="0">
    <w:p w:rsidR="00660BAA" w:rsidRDefault="00660BA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6B7" w:rsidRDefault="00D636B7" w:rsidP="00A118B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636B7" w:rsidRDefault="00D636B7" w:rsidP="00D636B7">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6B7" w:rsidRDefault="00D636B7" w:rsidP="00A118B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95A97">
      <w:rPr>
        <w:rStyle w:val="a5"/>
        <w:noProof/>
      </w:rPr>
      <w:t>1</w:t>
    </w:r>
    <w:r>
      <w:rPr>
        <w:rStyle w:val="a5"/>
      </w:rPr>
      <w:fldChar w:fldCharType="end"/>
    </w:r>
  </w:p>
  <w:p w:rsidR="00D636B7" w:rsidRDefault="00D636B7" w:rsidP="00D636B7">
    <w:pPr>
      <w:pStyle w:val="a4"/>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noPunctuationKerning/>
  <w:characterSpacingControl w:val="doNotCompress"/>
  <w:footnotePr>
    <w:footnote w:id="-1"/>
    <w:footnote w:id="0"/>
  </w:footnotePr>
  <w:endnotePr>
    <w:endnote w:id="-1"/>
    <w:endnote w:id="0"/>
  </w:endnotePr>
  <w:compat>
    <w:applyBreakingRules/>
  </w:compat>
  <w:rsids>
    <w:rsidRoot w:val="00A1497A"/>
    <w:rsid w:val="00046396"/>
    <w:rsid w:val="00074F53"/>
    <w:rsid w:val="0007678D"/>
    <w:rsid w:val="000E2AC7"/>
    <w:rsid w:val="00101F2E"/>
    <w:rsid w:val="00141EC0"/>
    <w:rsid w:val="001C68CF"/>
    <w:rsid w:val="00252522"/>
    <w:rsid w:val="00271A08"/>
    <w:rsid w:val="002F15CC"/>
    <w:rsid w:val="003C5014"/>
    <w:rsid w:val="00476566"/>
    <w:rsid w:val="00512F95"/>
    <w:rsid w:val="00530C1F"/>
    <w:rsid w:val="00594C68"/>
    <w:rsid w:val="005C6DE2"/>
    <w:rsid w:val="005D605C"/>
    <w:rsid w:val="005E68C9"/>
    <w:rsid w:val="00627E72"/>
    <w:rsid w:val="00660BAA"/>
    <w:rsid w:val="00667E74"/>
    <w:rsid w:val="00687478"/>
    <w:rsid w:val="006A1F2C"/>
    <w:rsid w:val="00732046"/>
    <w:rsid w:val="007453A4"/>
    <w:rsid w:val="00850A0B"/>
    <w:rsid w:val="008A2E38"/>
    <w:rsid w:val="008C741C"/>
    <w:rsid w:val="008F50EB"/>
    <w:rsid w:val="00920AB0"/>
    <w:rsid w:val="009455F9"/>
    <w:rsid w:val="0095098D"/>
    <w:rsid w:val="00951E47"/>
    <w:rsid w:val="009945E0"/>
    <w:rsid w:val="00A118BC"/>
    <w:rsid w:val="00A1497A"/>
    <w:rsid w:val="00A25354"/>
    <w:rsid w:val="00A810A4"/>
    <w:rsid w:val="00BB290C"/>
    <w:rsid w:val="00BB2DC6"/>
    <w:rsid w:val="00BD62F4"/>
    <w:rsid w:val="00C615F7"/>
    <w:rsid w:val="00C8707C"/>
    <w:rsid w:val="00C92EE7"/>
    <w:rsid w:val="00CC5438"/>
    <w:rsid w:val="00D636B7"/>
    <w:rsid w:val="00E95A97"/>
    <w:rsid w:val="00EA14E8"/>
    <w:rsid w:val="00F522E3"/>
    <w:rsid w:val="00F52DFB"/>
    <w:rsid w:val="00FA24BA"/>
    <w:rsid w:val="00FA68C5"/>
    <w:rsid w:val="00FF5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8C5"/>
    <w:pPr>
      <w:spacing w:line="360" w:lineRule="auto"/>
      <w:ind w:firstLine="709"/>
      <w:jc w:val="both"/>
    </w:pPr>
    <w:rPr>
      <w:sz w:val="24"/>
    </w:rPr>
  </w:style>
  <w:style w:type="paragraph" w:styleId="1">
    <w:name w:val="heading 1"/>
    <w:basedOn w:val="a"/>
    <w:next w:val="a"/>
    <w:qFormat/>
    <w:rsid w:val="00101F2E"/>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732046"/>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9455F9"/>
    <w:pPr>
      <w:keepNext/>
      <w:spacing w:before="240" w:after="60"/>
      <w:jc w:val="center"/>
      <w:outlineLvl w:val="2"/>
    </w:pPr>
    <w:rPr>
      <w:rFonts w:ascii="Arial" w:hAnsi="Arial" w:cs="Arial"/>
      <w:b/>
      <w:bCs/>
      <w:sz w:val="26"/>
      <w:szCs w:val="26"/>
    </w:rPr>
  </w:style>
  <w:style w:type="paragraph" w:styleId="4">
    <w:name w:val="heading 4"/>
    <w:basedOn w:val="a"/>
    <w:next w:val="a"/>
    <w:qFormat/>
    <w:rsid w:val="00951E47"/>
    <w:pPr>
      <w:keepNext/>
      <w:spacing w:before="240"/>
      <w:ind w:firstLine="720"/>
      <w:outlineLvl w:val="3"/>
    </w:pPr>
    <w:rPr>
      <w:b/>
      <w:bCs/>
      <w:sz w:val="26"/>
      <w:szCs w:val="28"/>
      <w:lang w:val="en-US" w:eastAsia="en-US"/>
    </w:rPr>
  </w:style>
  <w:style w:type="paragraph" w:styleId="5">
    <w:name w:val="heading 5"/>
    <w:basedOn w:val="a"/>
    <w:next w:val="a"/>
    <w:qFormat/>
    <w:rsid w:val="00FA24BA"/>
    <w:pPr>
      <w:keepNext/>
      <w:spacing w:before="240" w:after="60"/>
      <w:ind w:firstLine="720"/>
      <w:outlineLvl w:val="4"/>
    </w:pPr>
    <w:rPr>
      <w:b/>
      <w:bCs/>
      <w:i/>
      <w:iCs/>
      <w:sz w:val="26"/>
      <w:szCs w:val="26"/>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eading4">
    <w:name w:val="heading 4"/>
    <w:basedOn w:val="a"/>
    <w:next w:val="a"/>
    <w:rsid w:val="00920AB0"/>
    <w:pPr>
      <w:keepNext/>
      <w:keepLines/>
      <w:ind w:firstLine="0"/>
      <w:jc w:val="left"/>
    </w:pPr>
    <w:rPr>
      <w:b/>
      <w:sz w:val="26"/>
      <w:szCs w:val="28"/>
    </w:rPr>
  </w:style>
  <w:style w:type="paragraph" w:styleId="a3">
    <w:name w:val="Body Text Indent"/>
    <w:basedOn w:val="a"/>
    <w:rsid w:val="003C5014"/>
    <w:pPr>
      <w:spacing w:line="480" w:lineRule="auto"/>
      <w:ind w:firstLine="720"/>
      <w:jc w:val="left"/>
    </w:pPr>
    <w:rPr>
      <w:szCs w:val="24"/>
    </w:rPr>
  </w:style>
  <w:style w:type="paragraph" w:styleId="a4">
    <w:name w:val="header"/>
    <w:basedOn w:val="a"/>
    <w:rsid w:val="00D636B7"/>
    <w:pPr>
      <w:tabs>
        <w:tab w:val="center" w:pos="4677"/>
        <w:tab w:val="right" w:pos="9355"/>
      </w:tabs>
    </w:pPr>
  </w:style>
  <w:style w:type="character" w:styleId="a5">
    <w:name w:val="page number"/>
    <w:basedOn w:val="a0"/>
    <w:rsid w:val="00D636B7"/>
  </w:style>
  <w:style w:type="paragraph" w:styleId="a6">
    <w:name w:val="Balloon Text"/>
    <w:basedOn w:val="a"/>
    <w:semiHidden/>
    <w:rsid w:val="00D636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6.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7.wmf"/><Relationship Id="rId61"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png"/><Relationship Id="rId64"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2881</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Лекция 11</vt:lpstr>
    </vt:vector>
  </TitlesOfParts>
  <Company/>
  <LinksUpToDate>false</LinksUpToDate>
  <CharactersWithSpaces>19271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11</dc:title>
  <dc:creator>Dell</dc:creator>
  <cp:lastModifiedBy>Лео</cp:lastModifiedBy>
  <cp:revision>2</cp:revision>
  <cp:lastPrinted>2008-11-17T08:28:00Z</cp:lastPrinted>
  <dcterms:created xsi:type="dcterms:W3CDTF">2009-12-13T19:12:00Z</dcterms:created>
  <dcterms:modified xsi:type="dcterms:W3CDTF">2009-12-13T19:12:00Z</dcterms:modified>
</cp:coreProperties>
</file>